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ACE" w:rsidRPr="00D90D65" w:rsidRDefault="003B164E" w:rsidP="009F5ACE">
      <w:pPr>
        <w:pStyle w:val="Textoindependiente"/>
        <w:widowControl w:val="0"/>
        <w:tabs>
          <w:tab w:val="left" w:pos="2410"/>
          <w:tab w:val="left" w:pos="3261"/>
          <w:tab w:val="left" w:pos="3544"/>
          <w:tab w:val="left" w:pos="5954"/>
          <w:tab w:val="left" w:pos="6946"/>
        </w:tabs>
        <w:suppressAutoHyphens/>
        <w:spacing w:after="0" w:line="240" w:lineRule="auto"/>
        <w:ind w:left="3261" w:right="2551" w:hanging="1134"/>
        <w:jc w:val="both"/>
        <w:rPr>
          <w:rFonts w:ascii="Tahoma" w:hAnsi="Tahoma" w:cs="Tahoma"/>
          <w:i/>
          <w:sz w:val="20"/>
          <w:szCs w:val="20"/>
          <w:lang w:val="es-PE"/>
        </w:rPr>
      </w:pPr>
      <w:r w:rsidRPr="009F5ACE">
        <w:rPr>
          <w:rFonts w:ascii="Tahoma" w:hAnsi="Tahoma" w:cs="Tahoma"/>
          <w:b/>
          <w:i/>
          <w:sz w:val="20"/>
          <w:szCs w:val="20"/>
        </w:rPr>
        <w:t xml:space="preserve">Sumilla: </w:t>
      </w:r>
      <w:r w:rsidR="009F5ACE" w:rsidRPr="00D90D65">
        <w:rPr>
          <w:rFonts w:ascii="Tahoma" w:hAnsi="Tahoma" w:cs="Tahoma"/>
          <w:i/>
          <w:sz w:val="20"/>
          <w:szCs w:val="20"/>
          <w:lang w:val="es-MX"/>
        </w:rPr>
        <w:t xml:space="preserve">Para </w:t>
      </w:r>
      <w:r w:rsidR="009F5ACE" w:rsidRPr="00D90D65">
        <w:rPr>
          <w:rFonts w:ascii="Tahoma" w:hAnsi="Tahoma" w:cs="Tahoma"/>
          <w:i/>
          <w:sz w:val="20"/>
          <w:szCs w:val="20"/>
        </w:rPr>
        <w:t>la configuración del supuesto de hecho de la norma  se requiere acreditar la falsedad o inexactitud del documento cuestionado; es decir, que éste no haya sido expedido por el órgano emisor correspondiente, o que siendo válidamente expedido haya sido adulterado en su contenido,  produciendo un falseamiento de la realidad.</w:t>
      </w:r>
    </w:p>
    <w:p w:rsidR="003B164E" w:rsidRPr="009F5ACE" w:rsidRDefault="003B164E" w:rsidP="006B19EE">
      <w:pPr>
        <w:pStyle w:val="Textoindependiente"/>
        <w:widowControl w:val="0"/>
        <w:tabs>
          <w:tab w:val="left" w:pos="2410"/>
          <w:tab w:val="left" w:pos="3402"/>
          <w:tab w:val="left" w:pos="6379"/>
          <w:tab w:val="left" w:pos="6946"/>
        </w:tabs>
        <w:suppressAutoHyphens/>
        <w:spacing w:after="0" w:line="240" w:lineRule="auto"/>
        <w:ind w:left="3402" w:right="2268" w:hanging="850"/>
        <w:jc w:val="both"/>
        <w:rPr>
          <w:rFonts w:ascii="Tahoma" w:hAnsi="Tahoma" w:cs="Tahoma"/>
          <w:i/>
          <w:sz w:val="20"/>
          <w:szCs w:val="20"/>
          <w:lang w:val="es-PE"/>
        </w:rPr>
      </w:pPr>
    </w:p>
    <w:p w:rsidR="003B164E" w:rsidRPr="009F5ACE" w:rsidRDefault="003B164E" w:rsidP="006B19EE">
      <w:pPr>
        <w:pStyle w:val="Textoindependiente3"/>
        <w:spacing w:after="0"/>
        <w:ind w:left="4248" w:right="179" w:firstLine="708"/>
        <w:jc w:val="both"/>
        <w:rPr>
          <w:rFonts w:ascii="Tahoma" w:hAnsi="Tahoma" w:cs="Tahoma"/>
          <w:b/>
          <w:sz w:val="20"/>
          <w:szCs w:val="20"/>
        </w:rPr>
      </w:pPr>
    </w:p>
    <w:p w:rsidR="003B164E" w:rsidRPr="009F5ACE" w:rsidRDefault="003B164E" w:rsidP="006B19EE">
      <w:pPr>
        <w:pStyle w:val="Textoindependiente3"/>
        <w:spacing w:after="0"/>
        <w:ind w:left="4248" w:right="179" w:firstLine="708"/>
        <w:jc w:val="both"/>
        <w:rPr>
          <w:rFonts w:ascii="Tahoma" w:hAnsi="Tahoma" w:cs="Tahoma"/>
          <w:sz w:val="20"/>
          <w:szCs w:val="20"/>
        </w:rPr>
      </w:pPr>
      <w:r w:rsidRPr="009F5ACE">
        <w:rPr>
          <w:rFonts w:ascii="Tahoma" w:hAnsi="Tahoma" w:cs="Tahoma"/>
          <w:b/>
          <w:sz w:val="20"/>
          <w:szCs w:val="20"/>
        </w:rPr>
        <w:t>Lima</w:t>
      </w:r>
      <w:r w:rsidRPr="009F5ACE">
        <w:rPr>
          <w:rFonts w:ascii="Tahoma" w:hAnsi="Tahoma" w:cs="Tahoma"/>
          <w:sz w:val="20"/>
          <w:szCs w:val="20"/>
        </w:rPr>
        <w:t xml:space="preserve">, </w:t>
      </w:r>
      <w:r w:rsidR="00C234F2" w:rsidRPr="00C234F2">
        <w:rPr>
          <w:rFonts w:ascii="Tahoma" w:hAnsi="Tahoma" w:cs="Tahoma"/>
          <w:b/>
          <w:sz w:val="20"/>
          <w:szCs w:val="20"/>
        </w:rPr>
        <w:t>28 de Junio de 2011</w:t>
      </w:r>
    </w:p>
    <w:p w:rsidR="003B164E" w:rsidRPr="009F5ACE" w:rsidRDefault="003B164E" w:rsidP="006B19EE">
      <w:pPr>
        <w:pStyle w:val="Textoindependiente3"/>
        <w:spacing w:after="0"/>
        <w:jc w:val="both"/>
        <w:rPr>
          <w:rFonts w:ascii="Tahoma" w:hAnsi="Tahoma" w:cs="Tahoma"/>
          <w:sz w:val="20"/>
          <w:szCs w:val="20"/>
        </w:rPr>
      </w:pPr>
    </w:p>
    <w:p w:rsidR="003B164E" w:rsidRPr="009F5ACE" w:rsidRDefault="003B164E" w:rsidP="006B19EE">
      <w:pPr>
        <w:spacing w:after="0" w:line="240" w:lineRule="auto"/>
        <w:jc w:val="both"/>
        <w:rPr>
          <w:rFonts w:ascii="Tahoma" w:hAnsi="Tahoma" w:cs="Tahoma"/>
          <w:sz w:val="20"/>
          <w:szCs w:val="20"/>
        </w:rPr>
      </w:pPr>
      <w:r w:rsidRPr="009F5ACE">
        <w:rPr>
          <w:rFonts w:ascii="Tahoma" w:hAnsi="Tahoma" w:cs="Tahoma"/>
          <w:b/>
          <w:sz w:val="20"/>
          <w:szCs w:val="20"/>
        </w:rPr>
        <w:t>VISTO</w:t>
      </w:r>
      <w:r w:rsidR="00EB60B3">
        <w:rPr>
          <w:rFonts w:ascii="Tahoma" w:hAnsi="Tahoma" w:cs="Tahoma"/>
          <w:sz w:val="20"/>
          <w:szCs w:val="20"/>
        </w:rPr>
        <w:t xml:space="preserve"> en sesión de fecha 28</w:t>
      </w:r>
      <w:r w:rsidRPr="009F5ACE">
        <w:rPr>
          <w:rFonts w:ascii="Tahoma" w:hAnsi="Tahoma" w:cs="Tahoma"/>
          <w:sz w:val="20"/>
          <w:szCs w:val="20"/>
        </w:rPr>
        <w:t xml:space="preserve"> de junio de 2011 de la Primera Sala del Tribunal de Contrataciones del Estado el Expediente № </w:t>
      </w:r>
      <w:r w:rsidR="003958F7" w:rsidRPr="009F5ACE">
        <w:rPr>
          <w:rFonts w:ascii="Tahoma" w:hAnsi="Tahoma" w:cs="Tahoma"/>
          <w:sz w:val="20"/>
          <w:szCs w:val="20"/>
        </w:rPr>
        <w:t>739/2010</w:t>
      </w:r>
      <w:r w:rsidRPr="009F5ACE">
        <w:rPr>
          <w:rFonts w:ascii="Tahoma" w:hAnsi="Tahoma" w:cs="Tahoma"/>
          <w:sz w:val="20"/>
          <w:szCs w:val="20"/>
        </w:rPr>
        <w:t xml:space="preserve">.TC, sobre el procedimiento administrativo sancionador contra </w:t>
      </w:r>
      <w:r w:rsidRPr="009F5ACE">
        <w:rPr>
          <w:rFonts w:ascii="Tahoma" w:hAnsi="Tahoma" w:cs="Tahoma"/>
          <w:sz w:val="20"/>
          <w:szCs w:val="20"/>
          <w:lang w:val="es-PE"/>
        </w:rPr>
        <w:t xml:space="preserve">la empresa </w:t>
      </w:r>
      <w:r w:rsidR="003958F7" w:rsidRPr="009F5ACE">
        <w:rPr>
          <w:rFonts w:ascii="Tahoma" w:hAnsi="Tahoma" w:cs="Tahoma"/>
          <w:sz w:val="20"/>
          <w:szCs w:val="20"/>
        </w:rPr>
        <w:t>MMK CONSTRUCTORES ASOCIADOS E.I.R.L</w:t>
      </w:r>
      <w:r w:rsidRPr="009F5ACE">
        <w:rPr>
          <w:rFonts w:ascii="Tahoma" w:hAnsi="Tahoma" w:cs="Tahoma"/>
          <w:sz w:val="20"/>
          <w:szCs w:val="20"/>
        </w:rPr>
        <w:t xml:space="preserve">, </w:t>
      </w:r>
      <w:r w:rsidRPr="009F5ACE">
        <w:rPr>
          <w:rFonts w:ascii="Tahoma" w:hAnsi="Tahoma" w:cs="Tahoma"/>
          <w:sz w:val="20"/>
          <w:szCs w:val="20"/>
          <w:lang w:val="es-MX"/>
        </w:rPr>
        <w:t xml:space="preserve">por </w:t>
      </w:r>
      <w:r w:rsidR="009F5ACE" w:rsidRPr="00D90D65">
        <w:rPr>
          <w:rFonts w:ascii="Tahoma" w:hAnsi="Tahoma" w:cs="Tahoma"/>
          <w:sz w:val="20"/>
          <w:szCs w:val="20"/>
          <w:lang w:val="es-MX"/>
        </w:rPr>
        <w:t>la presentación de documentos falsos</w:t>
      </w:r>
      <w:r w:rsidR="003958F7" w:rsidRPr="009F5ACE">
        <w:rPr>
          <w:rFonts w:ascii="Tahoma" w:hAnsi="Tahoma" w:cs="Tahoma"/>
          <w:sz w:val="20"/>
          <w:szCs w:val="20"/>
          <w:lang w:val="es-MX"/>
        </w:rPr>
        <w:t xml:space="preserve"> </w:t>
      </w:r>
      <w:r w:rsidR="009F5ACE">
        <w:rPr>
          <w:rFonts w:ascii="Tahoma" w:hAnsi="Tahoma" w:cs="Tahoma"/>
          <w:sz w:val="20"/>
          <w:szCs w:val="20"/>
          <w:lang w:val="es-MX"/>
        </w:rPr>
        <w:t xml:space="preserve">y/o inexactos durante el desarrollo </w:t>
      </w:r>
      <w:r w:rsidR="003958F7" w:rsidRPr="009F5ACE">
        <w:rPr>
          <w:rFonts w:ascii="Tahoma" w:hAnsi="Tahoma" w:cs="Tahoma"/>
          <w:sz w:val="20"/>
          <w:szCs w:val="20"/>
          <w:lang w:val="es-MX"/>
        </w:rPr>
        <w:t xml:space="preserve">del </w:t>
      </w:r>
      <w:r w:rsidR="003958F7" w:rsidRPr="009F5ACE">
        <w:rPr>
          <w:rFonts w:ascii="Tahoma" w:hAnsi="Tahoma" w:cs="Tahoma"/>
          <w:sz w:val="20"/>
          <w:szCs w:val="20"/>
        </w:rPr>
        <w:t xml:space="preserve">Concurso Público Nº 003-2009/GRH, efectuado por el Gobierno Regional de Huánuco para la </w:t>
      </w:r>
      <w:r w:rsidR="009F5ACE" w:rsidRPr="009F5ACE">
        <w:rPr>
          <w:rFonts w:ascii="Tahoma" w:hAnsi="Tahoma" w:cs="Tahoma"/>
          <w:sz w:val="20"/>
          <w:szCs w:val="20"/>
        </w:rPr>
        <w:t>Contratación</w:t>
      </w:r>
      <w:r w:rsidR="003958F7" w:rsidRPr="009F5ACE">
        <w:rPr>
          <w:rFonts w:ascii="Tahoma" w:hAnsi="Tahoma" w:cs="Tahoma"/>
          <w:sz w:val="20"/>
          <w:szCs w:val="20"/>
        </w:rPr>
        <w:t xml:space="preserve"> </w:t>
      </w:r>
      <w:r w:rsidR="009F5ACE" w:rsidRPr="009F5ACE">
        <w:rPr>
          <w:rFonts w:ascii="Tahoma" w:hAnsi="Tahoma" w:cs="Tahoma"/>
          <w:sz w:val="20"/>
          <w:szCs w:val="20"/>
        </w:rPr>
        <w:t>de Los Servicios d</w:t>
      </w:r>
      <w:r w:rsidR="003958F7" w:rsidRPr="009F5ACE">
        <w:rPr>
          <w:rFonts w:ascii="Tahoma" w:hAnsi="Tahoma" w:cs="Tahoma"/>
          <w:sz w:val="20"/>
          <w:szCs w:val="20"/>
        </w:rPr>
        <w:t xml:space="preserve">e </w:t>
      </w:r>
      <w:r w:rsidR="009F5ACE" w:rsidRPr="009F5ACE">
        <w:rPr>
          <w:rFonts w:ascii="Tahoma" w:hAnsi="Tahoma" w:cs="Tahoma"/>
          <w:sz w:val="20"/>
          <w:szCs w:val="20"/>
        </w:rPr>
        <w:t>Consultoría para La formulación</w:t>
      </w:r>
      <w:r w:rsidR="003958F7" w:rsidRPr="009F5ACE">
        <w:rPr>
          <w:rFonts w:ascii="Tahoma" w:hAnsi="Tahoma" w:cs="Tahoma"/>
          <w:sz w:val="20"/>
          <w:szCs w:val="20"/>
        </w:rPr>
        <w:t xml:space="preserve"> Del Estudio De Pre </w:t>
      </w:r>
      <w:r w:rsidR="009F5ACE" w:rsidRPr="009F5ACE">
        <w:rPr>
          <w:rFonts w:ascii="Tahoma" w:hAnsi="Tahoma" w:cs="Tahoma"/>
          <w:sz w:val="20"/>
          <w:szCs w:val="20"/>
        </w:rPr>
        <w:t>Inversión</w:t>
      </w:r>
      <w:r w:rsidR="003958F7" w:rsidRPr="009F5ACE">
        <w:rPr>
          <w:rFonts w:ascii="Tahoma" w:hAnsi="Tahoma" w:cs="Tahoma"/>
          <w:sz w:val="20"/>
          <w:szCs w:val="20"/>
        </w:rPr>
        <w:t xml:space="preserve"> A Nivel De Perfil Del Proyecto</w:t>
      </w:r>
      <w:r w:rsidR="003958F7" w:rsidRPr="009F5ACE">
        <w:rPr>
          <w:rFonts w:ascii="Tahoma" w:hAnsi="Tahoma" w:cs="Tahoma"/>
          <w:color w:val="0000FF"/>
          <w:sz w:val="20"/>
          <w:szCs w:val="20"/>
        </w:rPr>
        <w:t xml:space="preserve"> </w:t>
      </w:r>
      <w:r w:rsidR="003958F7" w:rsidRPr="009F5ACE">
        <w:rPr>
          <w:rFonts w:ascii="Tahoma" w:hAnsi="Tahoma" w:cs="Tahoma"/>
          <w:color w:val="000000"/>
          <w:sz w:val="20"/>
          <w:szCs w:val="20"/>
        </w:rPr>
        <w:t>“Rehabilitacion Y Me</w:t>
      </w:r>
      <w:r w:rsidR="00B84929">
        <w:rPr>
          <w:rFonts w:ascii="Tahoma" w:hAnsi="Tahoma" w:cs="Tahoma"/>
          <w:color w:val="000000"/>
          <w:sz w:val="20"/>
          <w:szCs w:val="20"/>
        </w:rPr>
        <w:t>joramiento De La Carretera Higu</w:t>
      </w:r>
      <w:r w:rsidR="003958F7" w:rsidRPr="009F5ACE">
        <w:rPr>
          <w:rFonts w:ascii="Tahoma" w:hAnsi="Tahoma" w:cs="Tahoma"/>
          <w:color w:val="000000"/>
          <w:sz w:val="20"/>
          <w:szCs w:val="20"/>
        </w:rPr>
        <w:t>eras – Yarumayo – Margos – Jesus – Cauri – Antacolpa – Raura – Llictatambo – Choras – Caramarca – Huarin – Jivia – Baños – Rondos – Queropalca”</w:t>
      </w:r>
      <w:r w:rsidR="003958F7" w:rsidRPr="009F5ACE">
        <w:rPr>
          <w:rFonts w:ascii="Tahoma" w:hAnsi="Tahoma" w:cs="Tahoma"/>
          <w:sz w:val="20"/>
          <w:szCs w:val="20"/>
        </w:rPr>
        <w:t>; en el marco del Decreto de Urgencia Nº 078-2009</w:t>
      </w:r>
      <w:r w:rsidRPr="009F5ACE">
        <w:rPr>
          <w:rFonts w:ascii="Tahoma" w:hAnsi="Tahoma" w:cs="Tahoma"/>
          <w:sz w:val="20"/>
          <w:szCs w:val="20"/>
        </w:rPr>
        <w:t xml:space="preserve">, </w:t>
      </w:r>
      <w:r w:rsidR="00994178" w:rsidRPr="009F5ACE">
        <w:rPr>
          <w:rFonts w:ascii="Tahoma" w:hAnsi="Tahoma" w:cs="Tahoma"/>
          <w:sz w:val="20"/>
          <w:szCs w:val="20"/>
        </w:rPr>
        <w:t xml:space="preserve">y, </w:t>
      </w:r>
      <w:r w:rsidRPr="009F5ACE">
        <w:rPr>
          <w:rFonts w:ascii="Tahoma" w:hAnsi="Tahoma" w:cs="Tahoma"/>
          <w:sz w:val="20"/>
          <w:szCs w:val="20"/>
        </w:rPr>
        <w:t xml:space="preserve">atendiendo a los siguientes:   </w:t>
      </w:r>
    </w:p>
    <w:p w:rsidR="003B164E" w:rsidRPr="009F5ACE" w:rsidRDefault="003B164E" w:rsidP="006B19EE">
      <w:pPr>
        <w:spacing w:after="0" w:line="240" w:lineRule="auto"/>
        <w:ind w:right="45"/>
        <w:jc w:val="both"/>
        <w:rPr>
          <w:rFonts w:ascii="Tahoma" w:hAnsi="Tahoma" w:cs="Tahoma"/>
          <w:sz w:val="20"/>
          <w:szCs w:val="20"/>
        </w:rPr>
      </w:pPr>
    </w:p>
    <w:p w:rsidR="003B164E" w:rsidRPr="009F5ACE" w:rsidRDefault="003B164E" w:rsidP="006B19EE">
      <w:pPr>
        <w:pStyle w:val="Ttulo2"/>
        <w:jc w:val="both"/>
        <w:rPr>
          <w:rFonts w:cs="Tahoma"/>
          <w:sz w:val="20"/>
        </w:rPr>
      </w:pPr>
      <w:r w:rsidRPr="009F5ACE">
        <w:rPr>
          <w:rFonts w:cs="Tahoma"/>
          <w:sz w:val="20"/>
        </w:rPr>
        <w:t>ANTECEDENTES:</w:t>
      </w:r>
    </w:p>
    <w:p w:rsidR="003B164E" w:rsidRPr="009F5ACE" w:rsidRDefault="003B164E" w:rsidP="006B19EE">
      <w:pPr>
        <w:spacing w:after="0" w:line="240" w:lineRule="auto"/>
        <w:ind w:left="540"/>
        <w:jc w:val="both"/>
        <w:rPr>
          <w:rFonts w:ascii="Tahoma" w:hAnsi="Tahoma" w:cs="Tahoma"/>
          <w:sz w:val="20"/>
          <w:szCs w:val="20"/>
          <w:lang w:val="es-PE"/>
        </w:rPr>
      </w:pPr>
    </w:p>
    <w:p w:rsidR="003B164E" w:rsidRPr="009F5ACE" w:rsidRDefault="003B164E" w:rsidP="006B19EE">
      <w:pPr>
        <w:numPr>
          <w:ilvl w:val="0"/>
          <w:numId w:val="6"/>
        </w:numPr>
        <w:tabs>
          <w:tab w:val="clear" w:pos="454"/>
          <w:tab w:val="num" w:pos="567"/>
        </w:tabs>
        <w:spacing w:after="0" w:line="240" w:lineRule="auto"/>
        <w:ind w:left="540" w:hanging="540"/>
        <w:jc w:val="both"/>
        <w:rPr>
          <w:rFonts w:ascii="Tahoma" w:hAnsi="Tahoma" w:cs="Tahoma"/>
          <w:sz w:val="20"/>
          <w:szCs w:val="20"/>
          <w:lang w:val="es-PE"/>
        </w:rPr>
      </w:pPr>
      <w:r w:rsidRPr="009F5ACE">
        <w:rPr>
          <w:rFonts w:ascii="Tahoma" w:hAnsi="Tahoma" w:cs="Tahoma"/>
          <w:sz w:val="20"/>
          <w:szCs w:val="20"/>
        </w:rPr>
        <w:t>El 13 de noviembre de 2008, el Gobierno Regional de Huánuco, en adelante La Entidad, convocó al Concurso Público Nº 003-2009/GRH, para la CONTRATACION DE LOS SERVICIOS DE CONSULTORIA PARA LA FORMULACION DEL ESTUDIO DE PRE INVERSION A NIVEL DE PERFIL DEL PROYECTO</w:t>
      </w:r>
      <w:r w:rsidRPr="009F5ACE">
        <w:rPr>
          <w:rFonts w:ascii="Tahoma" w:hAnsi="Tahoma" w:cs="Tahoma"/>
          <w:color w:val="0000FF"/>
          <w:sz w:val="20"/>
          <w:szCs w:val="20"/>
        </w:rPr>
        <w:t xml:space="preserve"> </w:t>
      </w:r>
      <w:r w:rsidRPr="009F5ACE">
        <w:rPr>
          <w:rFonts w:ascii="Tahoma" w:hAnsi="Tahoma" w:cs="Tahoma"/>
          <w:color w:val="000000"/>
          <w:sz w:val="20"/>
          <w:szCs w:val="20"/>
        </w:rPr>
        <w:t>“REHABILITACION Y MEJORAMIENTO DE LA CARRETERA HIGUIERAS – YARUMAYO – MARGOS – JESUS – CAURI – ANTACOLPA – RAURA – LLICTATAMBO – CHORAS – CARAMARCA – HUARIN – JIVIA – BAÑOS – RONDOS – QUEROPALCA”</w:t>
      </w:r>
      <w:r w:rsidRPr="009F5ACE">
        <w:rPr>
          <w:rFonts w:ascii="Tahoma" w:hAnsi="Tahoma" w:cs="Tahoma"/>
          <w:sz w:val="20"/>
          <w:szCs w:val="20"/>
        </w:rPr>
        <w:t xml:space="preserve">; en el marco del Decreto de Urgencia Nº 078-2009, por un valor referencial ascendente a </w:t>
      </w:r>
      <w:r w:rsidRPr="009F5ACE">
        <w:rPr>
          <w:rFonts w:ascii="Tahoma" w:hAnsi="Tahoma" w:cs="Tahoma"/>
          <w:color w:val="000000"/>
          <w:sz w:val="20"/>
          <w:szCs w:val="20"/>
        </w:rPr>
        <w:t>S/. 326,865.00  (TRECIENTOS VEINTISEIS  MIL OCHOCIENTOS SESENTA Y CINCO Y 00/100 NUEVOS SOLES),</w:t>
      </w:r>
      <w:r w:rsidRPr="009F5ACE">
        <w:rPr>
          <w:rFonts w:ascii="Tahoma" w:hAnsi="Tahoma" w:cs="Tahoma"/>
          <w:sz w:val="20"/>
          <w:szCs w:val="20"/>
        </w:rPr>
        <w:t xml:space="preserve"> incluido los impuestos de Ley y cualquier otro concepto que pudiera incidir en el costo total del servicio.</w:t>
      </w:r>
    </w:p>
    <w:p w:rsidR="003B164E" w:rsidRPr="009F5ACE" w:rsidRDefault="003B164E" w:rsidP="006B19EE">
      <w:pPr>
        <w:spacing w:after="0" w:line="240" w:lineRule="auto"/>
        <w:ind w:left="540"/>
        <w:jc w:val="both"/>
        <w:rPr>
          <w:rFonts w:ascii="Tahoma" w:hAnsi="Tahoma" w:cs="Tahoma"/>
          <w:sz w:val="20"/>
          <w:szCs w:val="20"/>
          <w:lang w:val="es-PE"/>
        </w:rPr>
      </w:pPr>
    </w:p>
    <w:p w:rsidR="003B164E" w:rsidRPr="009F5ACE" w:rsidRDefault="003B164E" w:rsidP="006B19EE">
      <w:pPr>
        <w:numPr>
          <w:ilvl w:val="0"/>
          <w:numId w:val="6"/>
        </w:numPr>
        <w:tabs>
          <w:tab w:val="clear" w:pos="454"/>
          <w:tab w:val="num" w:pos="567"/>
        </w:tabs>
        <w:spacing w:after="0" w:line="240" w:lineRule="auto"/>
        <w:ind w:left="540" w:hanging="540"/>
        <w:jc w:val="both"/>
        <w:rPr>
          <w:rFonts w:ascii="Tahoma" w:hAnsi="Tahoma" w:cs="Tahoma"/>
          <w:sz w:val="20"/>
          <w:szCs w:val="20"/>
          <w:lang w:val="es-PE"/>
        </w:rPr>
      </w:pPr>
      <w:r w:rsidRPr="009F5ACE">
        <w:rPr>
          <w:rFonts w:ascii="Tahoma" w:hAnsi="Tahoma" w:cs="Tahoma"/>
          <w:sz w:val="20"/>
          <w:szCs w:val="20"/>
        </w:rPr>
        <w:t>El 01 de diciembre de 2009, se llevó a cabo el acto de evaluación de propuestas y otorgamiento de la buena pro, donde el Comité Especial otorgó la buena pro a favor de la empresa MMK CONSTRUCTORES ASOCIADOS E.I.R.L, en adelante El Contratista.</w:t>
      </w:r>
    </w:p>
    <w:p w:rsidR="003B164E" w:rsidRPr="009F5ACE" w:rsidRDefault="003B164E" w:rsidP="006B19EE">
      <w:pPr>
        <w:pStyle w:val="Prrafodelista"/>
        <w:rPr>
          <w:rFonts w:ascii="Tahoma" w:hAnsi="Tahoma" w:cs="Tahoma"/>
          <w:sz w:val="20"/>
          <w:lang w:val="es-PE"/>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sz w:val="20"/>
        </w:rPr>
      </w:pPr>
      <w:r w:rsidRPr="009F5ACE">
        <w:rPr>
          <w:rFonts w:ascii="Tahoma" w:hAnsi="Tahoma" w:cs="Tahoma"/>
          <w:sz w:val="20"/>
        </w:rPr>
        <w:t>El 29 de diciembre de 2009, La Entidad y El Contratista suscribieron el Contrato Nº 794-2009-GRH-PR.</w:t>
      </w:r>
    </w:p>
    <w:p w:rsidR="003B164E" w:rsidRPr="009F5ACE" w:rsidRDefault="003B164E" w:rsidP="006B19EE">
      <w:pPr>
        <w:pStyle w:val="Prrafodelista"/>
        <w:rPr>
          <w:rFonts w:ascii="Tahoma" w:hAnsi="Tahoma" w:cs="Tahoma"/>
          <w:sz w:val="20"/>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sz w:val="20"/>
        </w:rPr>
      </w:pPr>
      <w:r w:rsidRPr="009F5ACE">
        <w:rPr>
          <w:rFonts w:ascii="Tahoma" w:hAnsi="Tahoma" w:cs="Tahoma"/>
          <w:sz w:val="20"/>
        </w:rPr>
        <w:t>Con Carta Nº 08-2010-MMK de fecha 18 de enero de 2010, el Contratista solicitó el adelanto directo del 20% por el monto de S/. 58, 835.70, para ello adjuntó la Carta Fianza Nº 528-2011/CREDICHAVIN/HZ.</w:t>
      </w:r>
    </w:p>
    <w:p w:rsidR="003B164E" w:rsidRPr="009F5ACE" w:rsidRDefault="003B164E" w:rsidP="006B19EE">
      <w:pPr>
        <w:pStyle w:val="Prrafodelista"/>
        <w:rPr>
          <w:rFonts w:ascii="Tahoma" w:hAnsi="Tahoma" w:cs="Tahoma"/>
          <w:sz w:val="20"/>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sz w:val="20"/>
        </w:rPr>
      </w:pPr>
      <w:r w:rsidRPr="009F5ACE">
        <w:rPr>
          <w:rFonts w:ascii="Tahoma" w:hAnsi="Tahoma" w:cs="Tahoma"/>
          <w:sz w:val="20"/>
        </w:rPr>
        <w:t>Mediante Memorando Nº 467-2010-GRH/ORA, la Oficina Regional de Administración solicitó se adopten las medidas legales respecto al contratista, pues se comprobó que la Carta Fianza presentada es FALSA.</w:t>
      </w:r>
    </w:p>
    <w:p w:rsidR="003B164E" w:rsidRPr="009F5ACE" w:rsidRDefault="003B164E" w:rsidP="006B19EE">
      <w:pPr>
        <w:pStyle w:val="Prrafodelista"/>
        <w:rPr>
          <w:rFonts w:ascii="Tahoma" w:hAnsi="Tahoma" w:cs="Tahoma"/>
          <w:sz w:val="20"/>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sz w:val="20"/>
        </w:rPr>
      </w:pPr>
      <w:r w:rsidRPr="009F5ACE">
        <w:rPr>
          <w:rFonts w:ascii="Tahoma" w:hAnsi="Tahoma" w:cs="Tahoma"/>
          <w:sz w:val="20"/>
        </w:rPr>
        <w:t>Con Dictamen Nº 586-2010-GRH/ORAJ de fecha 14 de mayo de 2010, la Oficina de Asesoría Jurídica recomendó poner los hechos en conocimiento del Tribunal del OSCE.</w:t>
      </w:r>
    </w:p>
    <w:p w:rsidR="003B164E" w:rsidRPr="009F5ACE" w:rsidRDefault="003B164E" w:rsidP="006B19EE">
      <w:pPr>
        <w:pStyle w:val="Prrafodelista"/>
        <w:tabs>
          <w:tab w:val="num" w:pos="567"/>
        </w:tabs>
        <w:ind w:left="567" w:hanging="567"/>
        <w:rPr>
          <w:rFonts w:ascii="Tahoma" w:hAnsi="Tahoma" w:cs="Tahoma"/>
          <w:sz w:val="20"/>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sz w:val="20"/>
        </w:rPr>
      </w:pPr>
      <w:r w:rsidRPr="009F5ACE">
        <w:rPr>
          <w:rFonts w:ascii="Tahoma" w:hAnsi="Tahoma" w:cs="Tahoma"/>
          <w:sz w:val="20"/>
        </w:rPr>
        <w:t xml:space="preserve">Mediante Oficio Nº 663-2010-GRH-GRPPAT  presentado el 31 de mayo de 2010, La Entidad puso en conocimiento del Tribunal de Contrataciones del Estado la supuesta infracción cometida por El Contratista. </w:t>
      </w:r>
    </w:p>
    <w:p w:rsidR="003B164E" w:rsidRPr="009F5ACE" w:rsidRDefault="003B164E" w:rsidP="006B19EE">
      <w:pPr>
        <w:pStyle w:val="Prrafodelista"/>
        <w:rPr>
          <w:rFonts w:ascii="Tahoma" w:hAnsi="Tahoma" w:cs="Tahoma"/>
          <w:sz w:val="20"/>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sz w:val="20"/>
        </w:rPr>
      </w:pPr>
      <w:r w:rsidRPr="009F5ACE">
        <w:rPr>
          <w:rFonts w:ascii="Tahoma" w:hAnsi="Tahoma" w:cs="Tahoma"/>
          <w:sz w:val="20"/>
        </w:rPr>
        <w:t xml:space="preserve">Con decreto de fecha 03 de junio de 2010, se dispuso iniciar procedimiento administrativo sancionador contra </w:t>
      </w:r>
      <w:r w:rsidRPr="009F5ACE">
        <w:rPr>
          <w:rFonts w:ascii="Tahoma" w:hAnsi="Tahoma" w:cs="Tahoma"/>
          <w:color w:val="000000"/>
          <w:sz w:val="20"/>
        </w:rPr>
        <w:t>el Contratista</w:t>
      </w:r>
      <w:r w:rsidRPr="009F5ACE">
        <w:rPr>
          <w:rFonts w:ascii="Tahoma" w:hAnsi="Tahoma" w:cs="Tahoma"/>
          <w:b/>
          <w:bCs/>
          <w:color w:val="000000"/>
          <w:sz w:val="20"/>
        </w:rPr>
        <w:t xml:space="preserve">, </w:t>
      </w:r>
      <w:r w:rsidRPr="009F5ACE">
        <w:rPr>
          <w:rFonts w:ascii="Tahoma" w:hAnsi="Tahoma" w:cs="Tahoma"/>
          <w:sz w:val="20"/>
        </w:rPr>
        <w:t xml:space="preserve">por su presunta responsabilidad en presentar la Carta Fianza 528-2011/CREDICHAVIN/HZ, expedida por Credichavin, documento supuestamente falso o inexacto,  </w:t>
      </w:r>
      <w:r w:rsidRPr="009F5ACE">
        <w:rPr>
          <w:rFonts w:ascii="Tahoma" w:hAnsi="Tahoma" w:cs="Tahoma"/>
          <w:color w:val="000000"/>
          <w:sz w:val="20"/>
        </w:rPr>
        <w:t xml:space="preserve">bajo el marco del </w:t>
      </w:r>
      <w:r w:rsidRPr="009F5ACE">
        <w:rPr>
          <w:rFonts w:ascii="Tahoma" w:hAnsi="Tahoma" w:cs="Tahoma"/>
          <w:sz w:val="20"/>
        </w:rPr>
        <w:t>Concurso Público Nº 003-2009/GRH</w:t>
      </w:r>
      <w:r w:rsidRPr="009F5ACE">
        <w:rPr>
          <w:rFonts w:ascii="Tahoma" w:hAnsi="Tahoma" w:cs="Tahoma"/>
          <w:color w:val="000000"/>
          <w:sz w:val="20"/>
        </w:rPr>
        <w:t xml:space="preserve">. Finalmente, se le otorgó al Contratista el plazo de </w:t>
      </w:r>
      <w:r w:rsidRPr="009F5ACE">
        <w:rPr>
          <w:rFonts w:ascii="Tahoma" w:hAnsi="Tahoma" w:cs="Tahoma"/>
          <w:b/>
          <w:bCs/>
          <w:color w:val="000000"/>
          <w:sz w:val="20"/>
        </w:rPr>
        <w:t>diez (10) días hábiles a fin de que cumpla con presentar sus descargos</w:t>
      </w:r>
      <w:r w:rsidRPr="009F5ACE">
        <w:rPr>
          <w:rFonts w:ascii="Tahoma" w:hAnsi="Tahoma" w:cs="Tahoma"/>
          <w:color w:val="000000"/>
          <w:sz w:val="20"/>
        </w:rPr>
        <w:t>, bajo apercibimiento de resolver el procedimiento con la documentación obrante en el expediente.</w:t>
      </w:r>
    </w:p>
    <w:p w:rsidR="003B164E" w:rsidRPr="009F5ACE" w:rsidRDefault="003B164E" w:rsidP="006B19EE">
      <w:pPr>
        <w:pStyle w:val="Prrafodelista"/>
        <w:rPr>
          <w:rFonts w:ascii="Tahoma" w:hAnsi="Tahoma" w:cs="Tahoma"/>
          <w:sz w:val="20"/>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sz w:val="20"/>
        </w:rPr>
      </w:pPr>
      <w:r w:rsidRPr="009F5ACE">
        <w:rPr>
          <w:rFonts w:ascii="Tahoma" w:hAnsi="Tahoma" w:cs="Tahoma"/>
          <w:sz w:val="20"/>
        </w:rPr>
        <w:t>Mediante decreto de fecha 08 de julio de 2010, se dispuso s</w:t>
      </w:r>
      <w:r w:rsidRPr="009F5ACE">
        <w:rPr>
          <w:rFonts w:ascii="Tahoma" w:hAnsi="Tahoma" w:cs="Tahoma"/>
          <w:color w:val="000000"/>
          <w:sz w:val="20"/>
        </w:rPr>
        <w:t xml:space="preserve">obrecartar la Cédula de Notificación Nº 16942/2010.TC al domicilio sito en: </w:t>
      </w:r>
      <w:r w:rsidRPr="009F5ACE">
        <w:rPr>
          <w:rFonts w:ascii="Tahoma" w:hAnsi="Tahoma" w:cs="Tahoma"/>
          <w:b/>
          <w:bCs/>
          <w:color w:val="000000"/>
          <w:sz w:val="20"/>
        </w:rPr>
        <w:t>PJ. 6 DE AGOSTO NRO. S/N BARRIO SOLEDA ALTA ANCASH - HUARAZ - HUARAZ</w:t>
      </w:r>
      <w:r w:rsidRPr="009F5ACE">
        <w:rPr>
          <w:rFonts w:ascii="Tahoma" w:hAnsi="Tahoma" w:cs="Tahoma"/>
          <w:color w:val="000000"/>
          <w:sz w:val="20"/>
        </w:rPr>
        <w:t xml:space="preserve">, de conformidad a lo establecido en los artículos 18º y 21º de la Ley del Procedimiento Administrativo General, Ley Nº 27444, a fin de que la empresa </w:t>
      </w:r>
      <w:r w:rsidRPr="009F5ACE">
        <w:rPr>
          <w:rFonts w:ascii="Tahoma" w:hAnsi="Tahoma" w:cs="Tahoma"/>
          <w:b/>
          <w:bCs/>
          <w:color w:val="000000"/>
          <w:sz w:val="20"/>
        </w:rPr>
        <w:t xml:space="preserve">MMK CONSTRUCTOERES ASOCIADOS E.I.R.L. </w:t>
      </w:r>
      <w:r w:rsidRPr="009F5ACE">
        <w:rPr>
          <w:rFonts w:ascii="Tahoma" w:hAnsi="Tahoma" w:cs="Tahoma"/>
          <w:color w:val="000000"/>
          <w:sz w:val="20"/>
        </w:rPr>
        <w:t>tome conocimiento del decreto de fecha 03.06.2010, y en consecuencia cumpla con efectuar la presentación de sus descargos.</w:t>
      </w:r>
    </w:p>
    <w:p w:rsidR="003B164E" w:rsidRPr="009F5ACE" w:rsidRDefault="003B164E" w:rsidP="006B19EE">
      <w:pPr>
        <w:pStyle w:val="Prrafodelista"/>
        <w:rPr>
          <w:rFonts w:ascii="Tahoma" w:hAnsi="Tahoma" w:cs="Tahoma"/>
          <w:sz w:val="20"/>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sz w:val="20"/>
        </w:rPr>
      </w:pPr>
      <w:r w:rsidRPr="009F5ACE">
        <w:rPr>
          <w:rFonts w:ascii="Tahoma" w:hAnsi="Tahoma" w:cs="Tahoma"/>
          <w:sz w:val="20"/>
        </w:rPr>
        <w:t xml:space="preserve">Con decreto de fecha 09 de noviembre de 2010, se dispuso </w:t>
      </w:r>
      <w:r w:rsidRPr="009F5ACE">
        <w:rPr>
          <w:rFonts w:ascii="Tahoma" w:hAnsi="Tahoma" w:cs="Tahoma"/>
          <w:color w:val="000000"/>
          <w:sz w:val="20"/>
        </w:rPr>
        <w:t>Sobrecartar</w:t>
      </w:r>
      <w:r w:rsidRPr="009F5ACE">
        <w:rPr>
          <w:rFonts w:ascii="Tahoma" w:hAnsi="Tahoma" w:cs="Tahoma"/>
          <w:b/>
          <w:bCs/>
          <w:color w:val="000000"/>
          <w:sz w:val="20"/>
        </w:rPr>
        <w:t xml:space="preserve"> </w:t>
      </w:r>
      <w:r w:rsidRPr="009F5ACE">
        <w:rPr>
          <w:rFonts w:ascii="Tahoma" w:hAnsi="Tahoma" w:cs="Tahoma"/>
          <w:color w:val="000000"/>
          <w:sz w:val="20"/>
        </w:rPr>
        <w:t xml:space="preserve"> la Cédula de Notificación Nº 26298-2010.TC que sobrecartó la Cédula de Notificación N° 16942/2010.TC al domicilio sito en: </w:t>
      </w:r>
      <w:r w:rsidRPr="009F5ACE">
        <w:rPr>
          <w:rFonts w:ascii="Tahoma" w:hAnsi="Tahoma" w:cs="Tahoma"/>
          <w:b/>
          <w:bCs/>
          <w:color w:val="000000"/>
          <w:sz w:val="20"/>
        </w:rPr>
        <w:t>JR. JOSE ROBLES ARNAO NRO. 1085 SAN FRANCISCO ANCASH - HUARAZ - HUARAZ</w:t>
      </w:r>
      <w:r w:rsidRPr="009F5ACE">
        <w:rPr>
          <w:rFonts w:ascii="Tahoma" w:hAnsi="Tahoma" w:cs="Tahoma"/>
          <w:color w:val="000000"/>
          <w:sz w:val="20"/>
        </w:rPr>
        <w:t>, de conformidad a lo establecido en los artículos 18º y 21º de la Ley del Procedimiento Administrativo General, Ley Nº 27444, a fin de que el contratista</w:t>
      </w:r>
      <w:r w:rsidRPr="009F5ACE">
        <w:rPr>
          <w:rFonts w:ascii="Tahoma" w:hAnsi="Tahoma" w:cs="Tahoma"/>
          <w:b/>
          <w:bCs/>
          <w:color w:val="000000"/>
          <w:sz w:val="20"/>
        </w:rPr>
        <w:t xml:space="preserve"> </w:t>
      </w:r>
      <w:r w:rsidRPr="009F5ACE">
        <w:rPr>
          <w:rFonts w:ascii="Tahoma" w:hAnsi="Tahoma" w:cs="Tahoma"/>
          <w:color w:val="000000"/>
          <w:sz w:val="20"/>
        </w:rPr>
        <w:t>tome conocimiento del decreto de fecha 03.06.2010.</w:t>
      </w:r>
    </w:p>
    <w:p w:rsidR="003B164E" w:rsidRPr="009F5ACE" w:rsidRDefault="003B164E" w:rsidP="006B19EE">
      <w:pPr>
        <w:pStyle w:val="Prrafodelista"/>
        <w:rPr>
          <w:rFonts w:ascii="Tahoma" w:hAnsi="Tahoma" w:cs="Tahoma"/>
          <w:sz w:val="20"/>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b/>
          <w:bCs/>
          <w:sz w:val="20"/>
        </w:rPr>
      </w:pPr>
      <w:r w:rsidRPr="009F5ACE">
        <w:rPr>
          <w:rFonts w:ascii="Tahoma" w:hAnsi="Tahoma" w:cs="Tahoma"/>
          <w:sz w:val="20"/>
        </w:rPr>
        <w:t xml:space="preserve">Con decreto de fecha 08 de febrero de 2011, se dispuso </w:t>
      </w:r>
      <w:r w:rsidRPr="009F5ACE">
        <w:rPr>
          <w:rFonts w:ascii="Tahoma" w:hAnsi="Tahoma" w:cs="Tahoma"/>
          <w:color w:val="000000"/>
          <w:sz w:val="20"/>
        </w:rPr>
        <w:t>Sobrecartar</w:t>
      </w:r>
      <w:r w:rsidRPr="009F5ACE">
        <w:rPr>
          <w:rFonts w:ascii="Tahoma" w:hAnsi="Tahoma" w:cs="Tahoma"/>
          <w:b/>
          <w:bCs/>
          <w:color w:val="000000"/>
          <w:sz w:val="20"/>
        </w:rPr>
        <w:t xml:space="preserve"> </w:t>
      </w:r>
      <w:r w:rsidRPr="009F5ACE">
        <w:rPr>
          <w:rFonts w:ascii="Tahoma" w:hAnsi="Tahoma" w:cs="Tahoma"/>
          <w:color w:val="000000"/>
          <w:sz w:val="20"/>
        </w:rPr>
        <w:t xml:space="preserve"> la Cédula de Notificación Nº 2265/2011.TC que sobrecartó las Cédulas de Notificación Nº 26298/2010.TC y 16942/2010.TC al domicilio sito en: </w:t>
      </w:r>
      <w:r w:rsidRPr="009F5ACE">
        <w:rPr>
          <w:rFonts w:ascii="Tahoma" w:hAnsi="Tahoma" w:cs="Tahoma"/>
          <w:b/>
          <w:bCs/>
          <w:color w:val="000000"/>
          <w:sz w:val="20"/>
        </w:rPr>
        <w:t>JR. SUCRE Nº 882 HUARAZ CERCADO HUARAZ ANCASH</w:t>
      </w:r>
      <w:r w:rsidRPr="009F5ACE">
        <w:rPr>
          <w:rFonts w:ascii="Tahoma" w:hAnsi="Tahoma" w:cs="Tahoma"/>
          <w:color w:val="000000"/>
          <w:sz w:val="20"/>
        </w:rPr>
        <w:t>, de conformidad a lo establecido en los artículos 18º y 21º de la Ley del Procedimiento Administrativo General, Ley Nº 27444, a fin de que el Contratista</w:t>
      </w:r>
      <w:r w:rsidRPr="009F5ACE">
        <w:rPr>
          <w:rFonts w:ascii="Tahoma" w:hAnsi="Tahoma" w:cs="Tahoma"/>
          <w:b/>
          <w:bCs/>
          <w:color w:val="000000"/>
          <w:sz w:val="20"/>
        </w:rPr>
        <w:t xml:space="preserve"> </w:t>
      </w:r>
      <w:r w:rsidRPr="009F5ACE">
        <w:rPr>
          <w:rFonts w:ascii="Tahoma" w:hAnsi="Tahoma" w:cs="Tahoma"/>
          <w:color w:val="000000"/>
          <w:sz w:val="20"/>
        </w:rPr>
        <w:t>tome conocimiento del decreto de fecha 03.06.2010</w:t>
      </w:r>
      <w:r w:rsidRPr="009F5ACE">
        <w:rPr>
          <w:rFonts w:ascii="Tahoma" w:hAnsi="Tahoma" w:cs="Tahoma"/>
          <w:sz w:val="20"/>
        </w:rPr>
        <w:t xml:space="preserve"> </w:t>
      </w:r>
    </w:p>
    <w:p w:rsidR="003B164E" w:rsidRPr="009F5ACE" w:rsidRDefault="003B164E" w:rsidP="006B19EE">
      <w:pPr>
        <w:pStyle w:val="Prrafodelista"/>
        <w:rPr>
          <w:rFonts w:ascii="Tahoma" w:hAnsi="Tahoma" w:cs="Tahoma"/>
          <w:sz w:val="20"/>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b/>
          <w:bCs/>
          <w:sz w:val="20"/>
        </w:rPr>
      </w:pPr>
      <w:r w:rsidRPr="009F5ACE">
        <w:rPr>
          <w:rFonts w:ascii="Tahoma" w:hAnsi="Tahoma" w:cs="Tahoma"/>
          <w:sz w:val="20"/>
        </w:rPr>
        <w:t>Con decreto de fecha 01 de marzo de 2011, se dispuso sobrecartar</w:t>
      </w:r>
      <w:r w:rsidRPr="009F5ACE">
        <w:rPr>
          <w:rFonts w:ascii="Tahoma" w:hAnsi="Tahoma" w:cs="Tahoma"/>
          <w:b/>
          <w:bCs/>
          <w:sz w:val="20"/>
        </w:rPr>
        <w:t xml:space="preserve"> </w:t>
      </w:r>
      <w:r w:rsidRPr="009F5ACE">
        <w:rPr>
          <w:rFonts w:ascii="Tahoma" w:hAnsi="Tahoma" w:cs="Tahoma"/>
          <w:color w:val="000000"/>
          <w:sz w:val="20"/>
        </w:rPr>
        <w:t>la Cédula de Notificación Nº 3744/2011.TC, que sobrecartó las Cédulas de Notificación Nº 2265/2011.TC, Nº 26298/2010.TC y Nº 16942/2010.TC, al domicilio sito en</w:t>
      </w:r>
      <w:r w:rsidRPr="009F5ACE">
        <w:rPr>
          <w:rFonts w:ascii="Tahoma" w:hAnsi="Tahoma" w:cs="Tahoma"/>
          <w:b/>
          <w:bCs/>
          <w:color w:val="000000"/>
          <w:sz w:val="20"/>
        </w:rPr>
        <w:t xml:space="preserve"> </w:t>
      </w:r>
      <w:r w:rsidRPr="009F5ACE">
        <w:rPr>
          <w:rFonts w:ascii="Tahoma" w:hAnsi="Tahoma" w:cs="Tahoma"/>
          <w:b/>
          <w:bCs/>
          <w:color w:val="000000"/>
          <w:sz w:val="20"/>
          <w:u w:val="single"/>
        </w:rPr>
        <w:t>JR. 28 DE JULIO Nº 463 HUARUPAMPA ANCASH – HUARAZ - HUARAZ</w:t>
      </w:r>
      <w:r w:rsidRPr="009F5ACE">
        <w:rPr>
          <w:rFonts w:ascii="Tahoma" w:hAnsi="Tahoma" w:cs="Tahoma"/>
          <w:b/>
          <w:bCs/>
          <w:color w:val="000000"/>
          <w:sz w:val="20"/>
        </w:rPr>
        <w:t xml:space="preserve">, </w:t>
      </w:r>
      <w:r w:rsidRPr="009F5ACE">
        <w:rPr>
          <w:rFonts w:ascii="Tahoma" w:hAnsi="Tahoma" w:cs="Tahoma"/>
          <w:color w:val="000000"/>
          <w:sz w:val="20"/>
        </w:rPr>
        <w:t>de conformidad a lo establecido en los artículos 18º y 21º de la Ley del Procedimiento Administrativo General, Ley Nº 27444, a fin que el Contratista efectúe la presentación de sus</w:t>
      </w:r>
      <w:r w:rsidRPr="009F5ACE">
        <w:rPr>
          <w:rFonts w:ascii="Tahoma" w:hAnsi="Tahoma" w:cs="Tahoma"/>
          <w:b/>
          <w:bCs/>
          <w:color w:val="000000"/>
          <w:sz w:val="20"/>
        </w:rPr>
        <w:t xml:space="preserve"> </w:t>
      </w:r>
      <w:r w:rsidRPr="009F5ACE">
        <w:rPr>
          <w:rFonts w:ascii="Tahoma" w:hAnsi="Tahoma" w:cs="Tahoma"/>
          <w:color w:val="000000"/>
          <w:sz w:val="20"/>
        </w:rPr>
        <w:t>descargos.</w:t>
      </w:r>
    </w:p>
    <w:p w:rsidR="003B164E" w:rsidRPr="009F5ACE" w:rsidRDefault="003B164E" w:rsidP="006B19EE">
      <w:pPr>
        <w:pStyle w:val="Prrafodelista"/>
        <w:rPr>
          <w:rFonts w:ascii="Tahoma" w:hAnsi="Tahoma" w:cs="Tahoma"/>
          <w:sz w:val="20"/>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sz w:val="20"/>
        </w:rPr>
      </w:pPr>
      <w:r w:rsidRPr="009F5ACE">
        <w:rPr>
          <w:rFonts w:ascii="Tahoma" w:hAnsi="Tahoma" w:cs="Tahoma"/>
          <w:sz w:val="20"/>
        </w:rPr>
        <w:lastRenderedPageBreak/>
        <w:t>Mediante decreto de fecha 28 de abril de 2011, no habiendo cumplido el contratista con presentar sus descargos, se hizo efectivo el apercibimiento de resolver con la documentación obrante en autos, y se dispuso remitir el expediente a la Primera Sala del Tribunal para que emita pronunciamiento.</w:t>
      </w:r>
    </w:p>
    <w:p w:rsidR="003B164E" w:rsidRPr="009F5ACE" w:rsidRDefault="003B164E" w:rsidP="006B19EE">
      <w:pPr>
        <w:pStyle w:val="Prrafodelista"/>
        <w:rPr>
          <w:rFonts w:ascii="Tahoma" w:hAnsi="Tahoma" w:cs="Tahoma"/>
          <w:sz w:val="20"/>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sz w:val="20"/>
        </w:rPr>
      </w:pPr>
      <w:r w:rsidRPr="009F5ACE">
        <w:rPr>
          <w:rFonts w:ascii="Tahoma" w:hAnsi="Tahoma" w:cs="Tahoma"/>
          <w:sz w:val="20"/>
        </w:rPr>
        <w:t>Con decreto de fecha 15 de junio de 2011, se requirió información adicional a la Entidad y  a la empresa CREDICHAVIN.</w:t>
      </w:r>
    </w:p>
    <w:p w:rsidR="003B164E" w:rsidRPr="009F5ACE" w:rsidRDefault="003B164E" w:rsidP="006B19EE">
      <w:pPr>
        <w:pStyle w:val="Prrafodelista"/>
        <w:rPr>
          <w:rFonts w:ascii="Tahoma" w:hAnsi="Tahoma" w:cs="Tahoma"/>
          <w:sz w:val="20"/>
        </w:rPr>
      </w:pPr>
    </w:p>
    <w:p w:rsidR="003B164E" w:rsidRPr="009F5ACE" w:rsidRDefault="003B164E" w:rsidP="006B19EE">
      <w:pPr>
        <w:pStyle w:val="Prrafodelista"/>
        <w:widowControl/>
        <w:numPr>
          <w:ilvl w:val="0"/>
          <w:numId w:val="6"/>
        </w:numPr>
        <w:tabs>
          <w:tab w:val="clear" w:pos="454"/>
          <w:tab w:val="num" w:pos="567"/>
        </w:tabs>
        <w:suppressAutoHyphens w:val="0"/>
        <w:ind w:left="567" w:hanging="567"/>
        <w:jc w:val="both"/>
        <w:rPr>
          <w:rFonts w:ascii="Tahoma" w:hAnsi="Tahoma" w:cs="Tahoma"/>
          <w:sz w:val="20"/>
        </w:rPr>
      </w:pPr>
      <w:r w:rsidRPr="009F5ACE">
        <w:rPr>
          <w:rFonts w:ascii="Tahoma" w:hAnsi="Tahoma" w:cs="Tahoma"/>
          <w:sz w:val="20"/>
        </w:rPr>
        <w:t>Mediante Carta Nº 04-2011-CREDICHAVIN/JAHZ de fecha 24 de junio de 2011, la empresa CREDICHAVIN remitió la información requerida.</w:t>
      </w:r>
    </w:p>
    <w:p w:rsidR="003B164E" w:rsidRPr="009F5ACE" w:rsidRDefault="003B164E" w:rsidP="006B19EE">
      <w:pPr>
        <w:pStyle w:val="NormalWeb"/>
        <w:tabs>
          <w:tab w:val="num" w:pos="900"/>
        </w:tabs>
        <w:spacing w:before="0" w:beforeAutospacing="0" w:after="0" w:afterAutospacing="0"/>
        <w:jc w:val="both"/>
        <w:rPr>
          <w:rFonts w:ascii="Tahoma" w:hAnsi="Tahoma" w:cs="Tahoma"/>
          <w:sz w:val="20"/>
          <w:szCs w:val="20"/>
          <w:highlight w:val="yellow"/>
        </w:rPr>
      </w:pPr>
    </w:p>
    <w:p w:rsidR="003B164E" w:rsidRPr="009F5ACE" w:rsidRDefault="003B164E" w:rsidP="006B19EE">
      <w:pPr>
        <w:tabs>
          <w:tab w:val="num" w:pos="9720"/>
        </w:tabs>
        <w:spacing w:after="0" w:line="240" w:lineRule="auto"/>
        <w:jc w:val="both"/>
        <w:rPr>
          <w:rFonts w:ascii="Tahoma" w:hAnsi="Tahoma" w:cs="Tahoma"/>
          <w:b/>
          <w:sz w:val="20"/>
          <w:szCs w:val="20"/>
        </w:rPr>
      </w:pPr>
      <w:r w:rsidRPr="009F5ACE">
        <w:rPr>
          <w:rFonts w:ascii="Tahoma" w:hAnsi="Tahoma" w:cs="Tahoma"/>
          <w:b/>
          <w:sz w:val="20"/>
          <w:szCs w:val="20"/>
        </w:rPr>
        <w:t>FUNDAMENTACIÓN:</w:t>
      </w:r>
    </w:p>
    <w:p w:rsidR="003B164E" w:rsidRPr="009F5ACE" w:rsidRDefault="003B164E" w:rsidP="006B19EE">
      <w:pPr>
        <w:spacing w:after="0" w:line="240" w:lineRule="auto"/>
        <w:ind w:left="720"/>
        <w:jc w:val="both"/>
        <w:rPr>
          <w:rFonts w:ascii="Tahoma" w:hAnsi="Tahoma" w:cs="Tahoma"/>
          <w:sz w:val="20"/>
          <w:szCs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El presente procedimiento sancionador ha sido iniciado para determinar si la empresa MMK CONSTRUCTORES ASOCIADOS E.I.R.L ha incurrido en responsabilidad administrativa por la supuesta presentación de documentos falsos o inexactos durante la Concurso Público Nº 003-2009/GRH,; infracción tipificada en el literal i) del numeral 51.1 del artículo 51 de la Ley de Contrataciones del Estado</w:t>
      </w:r>
      <w:r w:rsidRPr="009F5ACE">
        <w:rPr>
          <w:rFonts w:ascii="Tahoma" w:hAnsi="Tahoma" w:cs="Tahoma"/>
          <w:sz w:val="20"/>
          <w:szCs w:val="20"/>
          <w:vertAlign w:val="superscript"/>
        </w:rPr>
        <w:footnoteReference w:id="2"/>
      </w:r>
      <w:r w:rsidRPr="009F5ACE">
        <w:rPr>
          <w:rFonts w:ascii="Tahoma" w:hAnsi="Tahoma" w:cs="Tahoma"/>
          <w:sz w:val="20"/>
          <w:szCs w:val="20"/>
        </w:rPr>
        <w:t>, en adelante la Ley, concordante con el literal i) del numeral 1 del artículo 237 de su Reglamento</w:t>
      </w:r>
      <w:r w:rsidRPr="009F5ACE">
        <w:rPr>
          <w:rFonts w:ascii="Tahoma" w:hAnsi="Tahoma" w:cs="Tahoma"/>
          <w:sz w:val="20"/>
          <w:szCs w:val="20"/>
          <w:vertAlign w:val="superscript"/>
        </w:rPr>
        <w:footnoteReference w:id="3"/>
      </w:r>
      <w:r w:rsidRPr="009F5ACE">
        <w:rPr>
          <w:rFonts w:ascii="Tahoma" w:hAnsi="Tahoma" w:cs="Tahoma"/>
          <w:sz w:val="20"/>
          <w:szCs w:val="20"/>
        </w:rPr>
        <w:t>, normas vigentes al suscitarse los hechos</w:t>
      </w:r>
      <w:r w:rsidRPr="009F5ACE">
        <w:rPr>
          <w:rFonts w:ascii="Tahoma" w:hAnsi="Tahoma" w:cs="Tahoma"/>
          <w:sz w:val="20"/>
          <w:szCs w:val="20"/>
          <w:lang w:eastAsia="es-ES"/>
        </w:rPr>
        <w:t>.</w:t>
      </w:r>
    </w:p>
    <w:p w:rsidR="003B164E" w:rsidRPr="009F5ACE" w:rsidRDefault="003B164E" w:rsidP="006B19EE">
      <w:pPr>
        <w:spacing w:line="240" w:lineRule="auto"/>
        <w:ind w:left="720"/>
        <w:rPr>
          <w:rFonts w:ascii="Tahoma" w:hAnsi="Tahoma" w:cs="Tahoma"/>
          <w:b/>
          <w:bCs/>
          <w:i/>
          <w:iCs/>
          <w:sz w:val="20"/>
          <w:szCs w:val="20"/>
          <w:lang w:val="es-MX"/>
        </w:rPr>
      </w:pPr>
    </w:p>
    <w:p w:rsidR="003B164E" w:rsidRPr="009F5ACE" w:rsidRDefault="003B164E" w:rsidP="006B19EE">
      <w:pPr>
        <w:spacing w:line="240" w:lineRule="auto"/>
        <w:ind w:left="720"/>
        <w:rPr>
          <w:rFonts w:ascii="Tahoma" w:hAnsi="Tahoma" w:cs="Tahoma"/>
          <w:sz w:val="20"/>
          <w:szCs w:val="20"/>
        </w:rPr>
      </w:pPr>
      <w:r w:rsidRPr="009F5ACE">
        <w:rPr>
          <w:rFonts w:ascii="Tahoma" w:hAnsi="Tahoma" w:cs="Tahoma"/>
          <w:b/>
          <w:bCs/>
          <w:i/>
          <w:iCs/>
          <w:sz w:val="20"/>
          <w:szCs w:val="20"/>
          <w:lang w:val="es-MX"/>
        </w:rPr>
        <w:t>Sobre la competencia de este Tribunal</w:t>
      </w: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lang w:val="es-MX"/>
        </w:rPr>
        <w:t>Habiéndose determinado que el presente proceso ha sido convocado al amparo del Decreto de Urgencia Nº 078-2009, que establece medidas para agilizar la contratación de bienes, servicios y obras, corresponde determinar la competencia de este Tribunal.</w:t>
      </w:r>
    </w:p>
    <w:p w:rsidR="003B164E" w:rsidRPr="009F5ACE" w:rsidRDefault="003B164E" w:rsidP="006B19EE">
      <w:pPr>
        <w:spacing w:after="0" w:line="240" w:lineRule="auto"/>
        <w:ind w:left="720"/>
        <w:jc w:val="both"/>
        <w:rPr>
          <w:rFonts w:ascii="Tahoma" w:hAnsi="Tahoma" w:cs="Tahoma"/>
          <w:sz w:val="20"/>
          <w:szCs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lang w:val="es-MX"/>
        </w:rPr>
        <w:t xml:space="preserve">Al efecto, debe tenerse en cuenta que según lo establecido en la Segunda Disposición Complementaria Final del Decreto de Urgencia Nº 078-2009, </w:t>
      </w:r>
      <w:r w:rsidRPr="009F5ACE">
        <w:rPr>
          <w:rFonts w:ascii="Tahoma" w:hAnsi="Tahoma" w:cs="Tahoma"/>
          <w:i/>
          <w:iCs/>
          <w:sz w:val="20"/>
          <w:szCs w:val="20"/>
          <w:lang w:val="es-MX"/>
        </w:rPr>
        <w:t>en todo lo no regulado en el presente Decreto de Urgencia será de aplicación supletoria lo establecido en el Decreto Legislativo Nº 1017, que aprueba la Ley de Contrataciones del Estado, y su Reglamento, aprobado por Decreto Supremo Nº 184-2008-EF y modificatorias.</w:t>
      </w:r>
    </w:p>
    <w:p w:rsidR="003B164E" w:rsidRPr="009F5ACE" w:rsidRDefault="003B164E" w:rsidP="006B19EE">
      <w:pPr>
        <w:pStyle w:val="Prrafodelista"/>
        <w:rPr>
          <w:rFonts w:ascii="Tahoma" w:hAnsi="Tahoma" w:cs="Tahoma"/>
          <w:sz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lang w:val="es-MX"/>
        </w:rPr>
        <w:t>Siendo que el Decreto de Urgencia Nº 078-2009 no regula la potestad sancionadora ni establece causales de infracción ni sanciones administrativas, corresponde aplicar supletoriamente la Ley de Contrataciones del Estado, aprobada por Decreto Legislativo Nº 1017, en adelante la Ley, y su Reglamento, aprobado por Decreto Supremo Nº 184-2008-EF, en adelante el Reglamento.</w:t>
      </w:r>
    </w:p>
    <w:p w:rsidR="003B164E" w:rsidRPr="009F5ACE" w:rsidRDefault="003B164E" w:rsidP="006B19EE">
      <w:pPr>
        <w:pStyle w:val="Prrafodelista"/>
        <w:rPr>
          <w:rFonts w:ascii="Tahoma" w:hAnsi="Tahoma" w:cs="Tahoma"/>
          <w:sz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lang w:val="es-MX"/>
        </w:rPr>
        <w:t>Bajo esta óptica, este Tribunal es el órgano que tiene a su cargo el conocimiento y resolución de procedimientos de imposición de sanción de inhabilitación temporal o definitiva, sanción económica, a que se contraen los artículos 51 y 52 de la Ley, a los proveedores, participantes, postores, contratistas, entidades y expertos independientes, según corresponda, por infracciones a las disposiciones contenidas en la Ley y su Reglamento.</w:t>
      </w:r>
    </w:p>
    <w:p w:rsidR="003B164E" w:rsidRPr="009F5ACE" w:rsidRDefault="003B164E" w:rsidP="006B19EE">
      <w:pPr>
        <w:spacing w:line="240" w:lineRule="auto"/>
        <w:ind w:left="720"/>
        <w:rPr>
          <w:rFonts w:ascii="Tahoma" w:hAnsi="Tahoma" w:cs="Tahoma"/>
          <w:b/>
          <w:bCs/>
          <w:i/>
          <w:iCs/>
          <w:sz w:val="20"/>
          <w:szCs w:val="20"/>
        </w:rPr>
      </w:pPr>
    </w:p>
    <w:p w:rsidR="003B164E" w:rsidRPr="009F5ACE" w:rsidRDefault="003B164E" w:rsidP="006B19EE">
      <w:pPr>
        <w:spacing w:line="240" w:lineRule="auto"/>
        <w:ind w:left="720"/>
        <w:jc w:val="both"/>
        <w:rPr>
          <w:rFonts w:ascii="Tahoma" w:hAnsi="Tahoma" w:cs="Tahoma"/>
          <w:b/>
          <w:bCs/>
          <w:i/>
          <w:iCs/>
          <w:sz w:val="20"/>
          <w:szCs w:val="20"/>
        </w:rPr>
      </w:pPr>
      <w:r w:rsidRPr="009F5ACE">
        <w:rPr>
          <w:rFonts w:ascii="Tahoma" w:hAnsi="Tahoma" w:cs="Tahoma"/>
          <w:b/>
          <w:bCs/>
          <w:i/>
          <w:iCs/>
          <w:sz w:val="20"/>
          <w:szCs w:val="20"/>
        </w:rPr>
        <w:t>Respecto a la eventual responsabilidad del Contratista por la presentación de documentos falsos o inexactos</w:t>
      </w: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al Tribunal o al OSCE. Dicha infracción se configura con la sola presentación del documento falso o inexacto, sin que la norma exija otros factores adicionales ; es decir, con la sola afectación del Principio de Presunción de Veracidad</w:t>
      </w:r>
      <w:r w:rsidRPr="009F5ACE">
        <w:rPr>
          <w:rStyle w:val="Refdenotaalpie"/>
          <w:rFonts w:ascii="Tahoma" w:hAnsi="Tahoma" w:cs="Tahoma"/>
          <w:sz w:val="20"/>
          <w:szCs w:val="20"/>
        </w:rPr>
        <w:footnoteReference w:id="4"/>
      </w:r>
      <w:r w:rsidRPr="009F5ACE">
        <w:rPr>
          <w:rFonts w:ascii="Tahoma" w:hAnsi="Tahoma" w:cs="Tahoma"/>
          <w:sz w:val="20"/>
          <w:szCs w:val="20"/>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3B164E" w:rsidRPr="009F5ACE" w:rsidRDefault="003B164E" w:rsidP="006B19EE">
      <w:pPr>
        <w:spacing w:after="0" w:line="240" w:lineRule="auto"/>
        <w:ind w:left="720"/>
        <w:jc w:val="both"/>
        <w:rPr>
          <w:rFonts w:ascii="Tahoma" w:hAnsi="Tahoma" w:cs="Tahoma"/>
          <w:sz w:val="20"/>
          <w:szCs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 xml:space="preserve">Asimismo, </w:t>
      </w:r>
      <w:r w:rsidRPr="009F5ACE">
        <w:rPr>
          <w:rFonts w:ascii="Tahoma" w:hAnsi="Tahoma" w:cs="Tahoma"/>
          <w:sz w:val="20"/>
          <w:szCs w:val="20"/>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9F5ACE">
        <w:rPr>
          <w:rFonts w:ascii="Tahoma" w:hAnsi="Tahoma" w:cs="Tahoma"/>
          <w:b/>
          <w:bCs/>
          <w:sz w:val="20"/>
          <w:szCs w:val="20"/>
          <w:lang w:val="es-MX"/>
        </w:rPr>
        <w:t>se presumen verificados por quien hace uso de ellos, así como de contenido veraz para fines del procedimiento administrativo</w:t>
      </w:r>
      <w:r w:rsidRPr="009F5ACE">
        <w:rPr>
          <w:rFonts w:ascii="Tahoma" w:hAnsi="Tahoma" w:cs="Tahoma"/>
          <w:sz w:val="20"/>
          <w:szCs w:val="20"/>
          <w:lang w:val="es-MX"/>
        </w:rPr>
        <w:t xml:space="preserve">. Sin embargo, esta presunción es de índole </w:t>
      </w:r>
      <w:r w:rsidRPr="009F5ACE">
        <w:rPr>
          <w:rFonts w:ascii="Tahoma" w:hAnsi="Tahoma" w:cs="Tahoma"/>
          <w:i/>
          <w:iCs/>
          <w:sz w:val="20"/>
          <w:szCs w:val="20"/>
          <w:lang w:val="es-MX"/>
        </w:rPr>
        <w:t>juris tantum</w:t>
      </w:r>
      <w:r w:rsidRPr="009F5ACE">
        <w:rPr>
          <w:rFonts w:ascii="Tahoma" w:hAnsi="Tahoma" w:cs="Tahoma"/>
          <w:sz w:val="20"/>
          <w:szCs w:val="20"/>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3B164E" w:rsidRPr="009F5ACE" w:rsidRDefault="003B164E" w:rsidP="006B19EE">
      <w:pPr>
        <w:spacing w:after="0" w:line="240" w:lineRule="auto"/>
        <w:ind w:left="720"/>
        <w:jc w:val="both"/>
        <w:rPr>
          <w:rFonts w:ascii="Tahoma" w:hAnsi="Tahoma" w:cs="Tahoma"/>
          <w:sz w:val="20"/>
          <w:szCs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Concordante con lo manifestado, el inciso 4) del artículo 56º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3B164E" w:rsidRPr="009F5ACE" w:rsidRDefault="003B164E" w:rsidP="006B19EE">
      <w:pPr>
        <w:spacing w:after="0" w:line="240" w:lineRule="auto"/>
        <w:ind w:left="720"/>
        <w:jc w:val="both"/>
        <w:rPr>
          <w:rFonts w:ascii="Tahoma" w:hAnsi="Tahoma" w:cs="Tahoma"/>
          <w:sz w:val="20"/>
          <w:szCs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 xml:space="preserve">En línea con lo anterior, el literal c) del numeral 1 del artículo 42º del Reglamento establece que los postores y/o contratistas </w:t>
      </w:r>
      <w:r w:rsidRPr="009F5ACE">
        <w:rPr>
          <w:rFonts w:ascii="Tahoma" w:hAnsi="Tahoma" w:cs="Tahoma"/>
          <w:b/>
          <w:bCs/>
          <w:sz w:val="20"/>
          <w:szCs w:val="20"/>
        </w:rPr>
        <w:t>son responsables de la veracidad de los documentos e información que presentan para efectos de un proceso de selección determinado</w:t>
      </w:r>
      <w:r w:rsidRPr="009F5ACE">
        <w:rPr>
          <w:rFonts w:ascii="Tahoma" w:hAnsi="Tahoma" w:cs="Tahoma"/>
          <w:sz w:val="20"/>
          <w:szCs w:val="20"/>
        </w:rPr>
        <w:t>.</w:t>
      </w:r>
    </w:p>
    <w:p w:rsidR="003B164E" w:rsidRPr="009F5ACE" w:rsidRDefault="003B164E" w:rsidP="006B19EE">
      <w:pPr>
        <w:spacing w:after="0" w:line="240" w:lineRule="auto"/>
        <w:ind w:left="720"/>
        <w:jc w:val="both"/>
        <w:rPr>
          <w:rFonts w:ascii="Tahoma" w:hAnsi="Tahoma" w:cs="Tahoma"/>
          <w:sz w:val="20"/>
          <w:szCs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3B164E" w:rsidRPr="009F5ACE" w:rsidRDefault="003B164E" w:rsidP="006B19EE">
      <w:pPr>
        <w:pStyle w:val="Prrafodelista"/>
        <w:rPr>
          <w:rFonts w:ascii="Tahoma" w:hAnsi="Tahoma" w:cs="Tahoma"/>
          <w:sz w:val="20"/>
          <w:lang w:val="es-PE"/>
        </w:rPr>
      </w:pPr>
    </w:p>
    <w:p w:rsidR="003B164E" w:rsidRPr="009F5ACE" w:rsidRDefault="003B164E" w:rsidP="006B19EE">
      <w:pPr>
        <w:spacing w:line="240" w:lineRule="auto"/>
        <w:ind w:left="720"/>
        <w:jc w:val="both"/>
        <w:rPr>
          <w:rFonts w:ascii="Tahoma" w:hAnsi="Tahoma" w:cs="Tahoma"/>
          <w:i/>
          <w:iCs/>
          <w:sz w:val="20"/>
          <w:szCs w:val="20"/>
          <w:lang w:val="es-PE"/>
        </w:rPr>
      </w:pPr>
      <w:r w:rsidRPr="009F5ACE">
        <w:rPr>
          <w:rFonts w:ascii="Tahoma" w:hAnsi="Tahoma" w:cs="Tahoma"/>
          <w:sz w:val="20"/>
          <w:szCs w:val="20"/>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9F5ACE">
        <w:rPr>
          <w:rFonts w:ascii="Tahoma" w:hAnsi="Tahoma" w:cs="Tahoma"/>
          <w:i/>
          <w:iCs/>
          <w:sz w:val="20"/>
          <w:szCs w:val="20"/>
          <w:lang w:val="es-PE"/>
        </w:rPr>
        <w:t>Principios de Moralidad</w:t>
      </w:r>
      <w:r w:rsidRPr="009F5ACE">
        <w:rPr>
          <w:rFonts w:ascii="Tahoma" w:hAnsi="Tahoma" w:cs="Tahoma"/>
          <w:sz w:val="20"/>
          <w:szCs w:val="20"/>
          <w:lang w:val="es-PE"/>
        </w:rPr>
        <w:t xml:space="preserve"> y de </w:t>
      </w:r>
      <w:r w:rsidRPr="009F5ACE">
        <w:rPr>
          <w:rFonts w:ascii="Tahoma" w:hAnsi="Tahoma" w:cs="Tahoma"/>
          <w:i/>
          <w:iCs/>
          <w:sz w:val="20"/>
          <w:szCs w:val="20"/>
          <w:lang w:val="es-PE"/>
        </w:rPr>
        <w:t>Presunción de Veracidad.</w:t>
      </w: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En el caso materia de análisis, la Entidad ha señalado que la</w:t>
      </w:r>
      <w:r w:rsidRPr="009F5ACE">
        <w:rPr>
          <w:rFonts w:ascii="Tahoma" w:hAnsi="Tahoma" w:cs="Tahoma"/>
          <w:sz w:val="20"/>
          <w:szCs w:val="20"/>
          <w:lang w:val="es-ES_tradnl"/>
        </w:rPr>
        <w:t xml:space="preserve"> </w:t>
      </w:r>
      <w:r w:rsidRPr="009F5ACE">
        <w:rPr>
          <w:rFonts w:ascii="Tahoma" w:hAnsi="Tahoma" w:cs="Tahoma"/>
          <w:sz w:val="20"/>
          <w:szCs w:val="20"/>
        </w:rPr>
        <w:t>Carta Fianza Nº 528-2011/CREDICHAVIN/HZ</w:t>
      </w:r>
      <w:r w:rsidRPr="009F5ACE">
        <w:rPr>
          <w:rStyle w:val="Refdenotaalpie"/>
          <w:rFonts w:ascii="Tahoma" w:hAnsi="Tahoma" w:cs="Tahoma"/>
          <w:sz w:val="20"/>
          <w:szCs w:val="20"/>
        </w:rPr>
        <w:footnoteReference w:id="5"/>
      </w:r>
      <w:r w:rsidRPr="009F5ACE">
        <w:rPr>
          <w:rFonts w:ascii="Tahoma" w:hAnsi="Tahoma" w:cs="Tahoma"/>
          <w:sz w:val="20"/>
          <w:szCs w:val="20"/>
        </w:rPr>
        <w:t>, presentada por el contratista para solicitar adelanto directo,  sería falsa.</w:t>
      </w:r>
    </w:p>
    <w:p w:rsidR="003B164E" w:rsidRPr="009F5ACE" w:rsidRDefault="003B164E" w:rsidP="006B19EE">
      <w:pPr>
        <w:spacing w:after="0" w:line="240" w:lineRule="auto"/>
        <w:ind w:left="720"/>
        <w:jc w:val="both"/>
        <w:rPr>
          <w:rFonts w:ascii="Tahoma" w:hAnsi="Tahoma" w:cs="Tahoma"/>
          <w:sz w:val="20"/>
          <w:szCs w:val="20"/>
        </w:rPr>
      </w:pPr>
    </w:p>
    <w:p w:rsidR="003B164E" w:rsidRPr="009F5ACE" w:rsidRDefault="003B164E" w:rsidP="006B19EE">
      <w:pPr>
        <w:spacing w:after="0" w:line="240" w:lineRule="auto"/>
        <w:ind w:left="720"/>
        <w:jc w:val="both"/>
        <w:rPr>
          <w:rFonts w:ascii="Tahoma" w:hAnsi="Tahoma" w:cs="Tahoma"/>
          <w:sz w:val="20"/>
          <w:szCs w:val="20"/>
        </w:rPr>
      </w:pPr>
      <w:r w:rsidRPr="009F5ACE">
        <w:rPr>
          <w:rFonts w:ascii="Tahoma" w:hAnsi="Tahoma" w:cs="Tahoma"/>
          <w:sz w:val="20"/>
          <w:szCs w:val="20"/>
        </w:rPr>
        <w:t>Al respecto, debe indicarse que la referida Carta Fianza fue presentada por el Contratista para garantizar los adelantos para materiales e insumos, de conformidad a lo establecido en la Cláusula novena del Contrato Nº 794-2009-GRH-PR suscrito el 29 de diciembre de 2009.</w:t>
      </w:r>
    </w:p>
    <w:p w:rsidR="003B164E" w:rsidRPr="009F5ACE" w:rsidRDefault="003B164E" w:rsidP="006B19EE">
      <w:pPr>
        <w:pStyle w:val="Prrafodelista"/>
        <w:rPr>
          <w:rFonts w:ascii="Tahoma" w:hAnsi="Tahoma" w:cs="Tahoma"/>
          <w:sz w:val="20"/>
          <w:lang w:val="es-ES"/>
        </w:rPr>
      </w:pPr>
    </w:p>
    <w:p w:rsidR="003B164E" w:rsidRPr="009F5ACE" w:rsidRDefault="003B164E" w:rsidP="006B19EE">
      <w:pPr>
        <w:spacing w:after="0" w:line="240" w:lineRule="auto"/>
        <w:ind w:left="720"/>
        <w:jc w:val="both"/>
        <w:rPr>
          <w:rFonts w:ascii="Tahoma" w:hAnsi="Tahoma" w:cs="Tahoma"/>
          <w:sz w:val="20"/>
          <w:szCs w:val="20"/>
        </w:rPr>
      </w:pPr>
      <w:r w:rsidRPr="009F5ACE">
        <w:rPr>
          <w:rFonts w:ascii="Tahoma" w:hAnsi="Tahoma" w:cs="Tahoma"/>
          <w:sz w:val="20"/>
          <w:szCs w:val="20"/>
        </w:rPr>
        <w:t>La cuestionada garantía habría sido emitida por la empresa CREDICHAVIN por un monto ascendente a S/. 58,835.70 Nuevos Soles, con una vigencia desde el 06 de enero de 2010 hasta el 06 de abril de 2010.</w:t>
      </w:r>
    </w:p>
    <w:p w:rsidR="003B164E" w:rsidRPr="009F5ACE" w:rsidRDefault="003B164E" w:rsidP="006B19EE">
      <w:pPr>
        <w:spacing w:after="0" w:line="240" w:lineRule="auto"/>
        <w:ind w:left="720"/>
        <w:jc w:val="both"/>
        <w:rPr>
          <w:rFonts w:ascii="Tahoma" w:hAnsi="Tahoma" w:cs="Tahoma"/>
          <w:sz w:val="20"/>
          <w:szCs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En ese sentido, una primera circunstancia a analizar, es la relacionada con la presunta falsedad del documento en cuestión. Para que dicha falsedad se verifique, constituye mérito suficiente la manifestación efectuada por el propio agente emisor o beneficiario del servicio y/o adquisición, a través de una comunicación oficial, acreditando que el documento cuestionado no ha sido expedido por éste o que siendo válidamente expedido ha sufrido adulteración en su contenido, criterio que ha sido recogido por el Tribunal en anteriores oportunidades.</w:t>
      </w:r>
    </w:p>
    <w:p w:rsidR="003B164E" w:rsidRPr="009F5ACE" w:rsidRDefault="003B164E" w:rsidP="006B19EE">
      <w:pPr>
        <w:spacing w:after="0" w:line="240" w:lineRule="auto"/>
        <w:ind w:left="720"/>
        <w:jc w:val="both"/>
        <w:rPr>
          <w:rFonts w:ascii="Tahoma" w:hAnsi="Tahoma" w:cs="Tahoma"/>
          <w:sz w:val="20"/>
          <w:szCs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 xml:space="preserve">A fin de dilucidar el asunto controvertido, este Colegiado solicitó a la empresa CREDICHAVIN,  brinde su conformidad a la </w:t>
      </w:r>
      <w:r w:rsidRPr="009F5ACE">
        <w:rPr>
          <w:rFonts w:ascii="Tahoma" w:hAnsi="Tahoma" w:cs="Tahoma"/>
          <w:sz w:val="20"/>
          <w:szCs w:val="20"/>
          <w:lang w:eastAsia="es-ES"/>
        </w:rPr>
        <w:t xml:space="preserve">Carta Fianza </w:t>
      </w:r>
      <w:r w:rsidRPr="009F5ACE">
        <w:rPr>
          <w:rFonts w:ascii="Tahoma" w:hAnsi="Tahoma" w:cs="Tahoma"/>
          <w:sz w:val="20"/>
          <w:szCs w:val="20"/>
        </w:rPr>
        <w:t>528-2011/CREDICHAVIN/HZ.</w:t>
      </w:r>
    </w:p>
    <w:p w:rsidR="003B164E" w:rsidRPr="009F5ACE" w:rsidRDefault="003B164E" w:rsidP="006B19EE">
      <w:pPr>
        <w:pStyle w:val="Prrafodelista"/>
        <w:rPr>
          <w:rFonts w:ascii="Tahoma" w:hAnsi="Tahoma" w:cs="Tahoma"/>
          <w:sz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 xml:space="preserve">En atención a la solicitud realizada, con Carta Nº 04-2011-CREDICHAVIN/JAHZ de fecha 24 de  junio de 2011, la empresa CREDICHAVIN </w:t>
      </w:r>
      <w:r w:rsidRPr="009F5ACE">
        <w:rPr>
          <w:rFonts w:ascii="Tahoma" w:hAnsi="Tahoma" w:cs="Tahoma"/>
          <w:i/>
          <w:iCs/>
          <w:sz w:val="20"/>
          <w:szCs w:val="20"/>
        </w:rPr>
        <w:t>manifestó lo siguiente: “(…) De la revisión a la carta fianza anexada a vuestra comunicación se informa que en la base de datos electrónica de nuestra institución NO EXISTE dicha carta, ya que en el mes de enero de 2010 la última carta fianza emitida corresponde a la carta fianza Nº 035-2010 de fecha 27 de enero de 2010 a favor de la empresa Instituto de Validación Municipal de la Provincia de Yungay y la última Carta Fianza emitida durante el año 2010 es la Carta Fianza Nº 0446-2010 de fecha 29 de diciembre de 2010 a favor de la empresa Mars Constructora S.R.L</w:t>
      </w:r>
      <w:r w:rsidRPr="009F5ACE">
        <w:rPr>
          <w:rFonts w:ascii="Tahoma" w:hAnsi="Tahoma" w:cs="Tahoma"/>
          <w:i/>
          <w:iCs/>
          <w:color w:val="000000"/>
          <w:sz w:val="20"/>
          <w:szCs w:val="20"/>
          <w:lang w:eastAsia="es-ES"/>
        </w:rPr>
        <w:t>.</w:t>
      </w:r>
      <w:r w:rsidRPr="009F5ACE">
        <w:rPr>
          <w:rFonts w:ascii="Tahoma" w:hAnsi="Tahoma" w:cs="Tahoma"/>
          <w:i/>
          <w:iCs/>
          <w:sz w:val="20"/>
          <w:szCs w:val="20"/>
        </w:rPr>
        <w:t>”</w:t>
      </w:r>
    </w:p>
    <w:p w:rsidR="003B164E" w:rsidRPr="009F5ACE" w:rsidRDefault="003B164E" w:rsidP="006B19EE">
      <w:pPr>
        <w:pStyle w:val="Prrafodelista"/>
        <w:rPr>
          <w:rFonts w:ascii="Tahoma" w:hAnsi="Tahoma" w:cs="Tahoma"/>
          <w:sz w:val="20"/>
        </w:rPr>
      </w:pPr>
    </w:p>
    <w:p w:rsidR="003B164E" w:rsidRPr="009F5ACE" w:rsidRDefault="003B164E" w:rsidP="006B19EE">
      <w:pPr>
        <w:numPr>
          <w:ilvl w:val="0"/>
          <w:numId w:val="7"/>
        </w:numPr>
        <w:spacing w:after="0" w:line="240" w:lineRule="auto"/>
        <w:jc w:val="both"/>
        <w:rPr>
          <w:rFonts w:ascii="Tahoma" w:hAnsi="Tahoma" w:cs="Tahoma"/>
          <w:i/>
          <w:iCs/>
          <w:sz w:val="20"/>
          <w:szCs w:val="20"/>
        </w:rPr>
      </w:pPr>
      <w:r w:rsidRPr="009F5ACE">
        <w:rPr>
          <w:rFonts w:ascii="Tahoma" w:hAnsi="Tahoma" w:cs="Tahoma"/>
          <w:sz w:val="20"/>
          <w:szCs w:val="20"/>
        </w:rPr>
        <w:t>Dicha aseveración emitida por el supuesto emisor, permite constatar que los datos consignados en el documento cuestionado son falsos, pues según lo indicado por la entidad financiera en la Carta Nº 04-2011-CREDICHAVIN de fecha 24 de junio de 2011</w:t>
      </w:r>
      <w:r w:rsidRPr="009F5ACE">
        <w:rPr>
          <w:rStyle w:val="Refdenotaalpie"/>
          <w:rFonts w:ascii="Tahoma" w:hAnsi="Tahoma" w:cs="Tahoma"/>
          <w:sz w:val="20"/>
          <w:szCs w:val="20"/>
        </w:rPr>
        <w:footnoteReference w:id="6"/>
      </w:r>
      <w:r w:rsidRPr="009F5ACE">
        <w:rPr>
          <w:rFonts w:ascii="Tahoma" w:hAnsi="Tahoma" w:cs="Tahoma"/>
          <w:sz w:val="20"/>
          <w:szCs w:val="20"/>
        </w:rPr>
        <w:t>, la Carta Fianza  Nº 528-2011/CREDICHAVI, NO EXISTE</w:t>
      </w:r>
      <w:r w:rsidRPr="009F5ACE">
        <w:rPr>
          <w:rFonts w:ascii="Tahoma" w:hAnsi="Tahoma" w:cs="Tahoma"/>
          <w:i/>
          <w:iCs/>
          <w:sz w:val="20"/>
          <w:szCs w:val="20"/>
        </w:rPr>
        <w:t xml:space="preserve"> ,</w:t>
      </w:r>
      <w:r w:rsidRPr="009F5ACE">
        <w:rPr>
          <w:rFonts w:ascii="Tahoma" w:hAnsi="Tahoma" w:cs="Tahoma"/>
          <w:sz w:val="20"/>
          <w:szCs w:val="20"/>
        </w:rPr>
        <w:t xml:space="preserve"> hecho que constituye prueba suficiente para desvirtuar el principio de Presunción de Veracidad que rige a los procedimientos administrativos, criterio que ha sido adoptado en reiterados pronunciamientos de este Tribunal.</w:t>
      </w:r>
    </w:p>
    <w:p w:rsidR="003B164E" w:rsidRPr="009F5ACE" w:rsidRDefault="003B164E" w:rsidP="006B19EE">
      <w:pPr>
        <w:spacing w:line="240" w:lineRule="auto"/>
        <w:rPr>
          <w:rFonts w:ascii="Tahoma" w:hAnsi="Tahoma" w:cs="Tahoma"/>
          <w:sz w:val="20"/>
          <w:szCs w:val="20"/>
          <w:highlight w:val="yellow"/>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lastRenderedPageBreak/>
        <w:t>Respecto a la infracción configurada como sancionable, el Contratista no ha presentado argumento de defensa alguno que desvirtúe su responsabilidad, a pesar de haber sido debidamente notificado mediante Cédula de Notificación Nº 8798/2011.TC el 07.04.2011.</w:t>
      </w:r>
    </w:p>
    <w:p w:rsidR="006B19EE" w:rsidRPr="009F5ACE" w:rsidRDefault="006B19EE" w:rsidP="006B19EE">
      <w:pPr>
        <w:pStyle w:val="Prrafodelista"/>
        <w:rPr>
          <w:rFonts w:ascii="Tahoma" w:hAnsi="Tahoma" w:cs="Tahoma"/>
          <w:sz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 xml:space="preserve">En consecuencia, la conducta del Contratista supone una trasgresión del </w:t>
      </w:r>
      <w:r w:rsidRPr="009F5ACE">
        <w:rPr>
          <w:rFonts w:ascii="Tahoma" w:hAnsi="Tahoma" w:cs="Tahoma"/>
          <w:i/>
          <w:iCs/>
          <w:sz w:val="20"/>
          <w:szCs w:val="20"/>
        </w:rPr>
        <w:t>principio de presunción de veracidad</w:t>
      </w:r>
      <w:r w:rsidRPr="009F5ACE">
        <w:rPr>
          <w:rFonts w:ascii="Tahoma" w:hAnsi="Tahoma" w:cs="Tahoma"/>
          <w:sz w:val="20"/>
          <w:szCs w:val="20"/>
        </w:rPr>
        <w:t>,  en vista que, si bien a través de dicho principio la Administración Pública se encuentra en el deber de presumir como veraces los documentos presentados por el administrado, esta situación ha quedado desvirtuada desde el momento en que se ha verificado que el documento cuestionado es falso.</w:t>
      </w:r>
    </w:p>
    <w:p w:rsidR="006B19EE" w:rsidRPr="009F5ACE" w:rsidRDefault="006B19EE" w:rsidP="006B19EE">
      <w:pPr>
        <w:pStyle w:val="Prrafodelista"/>
        <w:rPr>
          <w:rFonts w:ascii="Tahoma" w:hAnsi="Tahoma" w:cs="Tahoma"/>
          <w:sz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 xml:space="preserve">En ese orden de ideas, al haber presentado documentación falsa, el Contratista ha contravenido el </w:t>
      </w:r>
      <w:r w:rsidRPr="009F5ACE">
        <w:rPr>
          <w:rFonts w:ascii="Tahoma" w:hAnsi="Tahoma" w:cs="Tahoma"/>
          <w:i/>
          <w:iCs/>
          <w:sz w:val="20"/>
          <w:szCs w:val="20"/>
        </w:rPr>
        <w:t>Principio de Moralidad</w:t>
      </w:r>
      <w:r w:rsidRPr="009F5ACE">
        <w:rPr>
          <w:rFonts w:ascii="Tahoma" w:hAnsi="Tahoma" w:cs="Tahoma"/>
          <w:sz w:val="20"/>
          <w:szCs w:val="20"/>
        </w:rPr>
        <w:t xml:space="preserve"> que rige la contratación estatal y bajo el cual éstas deben caracterizarse por la </w:t>
      </w:r>
      <w:r w:rsidRPr="009F5ACE">
        <w:rPr>
          <w:rFonts w:ascii="Tahoma" w:hAnsi="Tahoma" w:cs="Tahoma"/>
          <w:i/>
          <w:iCs/>
          <w:sz w:val="20"/>
          <w:szCs w:val="20"/>
        </w:rPr>
        <w:t>honradez, veracidad, intangibilidad, justicia y probidad</w:t>
      </w:r>
      <w:r w:rsidRPr="009F5ACE">
        <w:rPr>
          <w:rFonts w:ascii="Tahoma" w:hAnsi="Tahoma" w:cs="Tahoma"/>
          <w:sz w:val="20"/>
          <w:szCs w:val="20"/>
        </w:rPr>
        <w:t>.</w:t>
      </w:r>
    </w:p>
    <w:p w:rsidR="006B19EE" w:rsidRPr="009F5ACE" w:rsidRDefault="006B19EE" w:rsidP="006B19EE">
      <w:pPr>
        <w:pStyle w:val="Prrafodelista"/>
        <w:rPr>
          <w:rFonts w:ascii="Tahoma" w:hAnsi="Tahoma" w:cs="Tahoma"/>
          <w:sz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 xml:space="preserve">Consecuentemente, la conducta desarrollada por el Postor califica dentro del supuesto de hecho de la infracción tipificada en el numeral 1) literal i) del artículo 51 de la Ley y 237 del Reglamento, por la cual corresponde imponer una sanción administrativa de inhabilitación para ser postor y contratar con el Estado por un período no menor de 12 ni mayor 36 meses, </w:t>
      </w:r>
      <w:r w:rsidRPr="009F5ACE">
        <w:rPr>
          <w:rFonts w:ascii="Tahoma" w:hAnsi="Tahoma" w:cs="Tahoma"/>
          <w:sz w:val="20"/>
          <w:szCs w:val="20"/>
          <w:lang w:val="es-MX"/>
        </w:rPr>
        <w:t xml:space="preserve">conforme a los criterios </w:t>
      </w:r>
      <w:r w:rsidRPr="009F5ACE">
        <w:rPr>
          <w:rFonts w:ascii="Tahoma" w:hAnsi="Tahoma" w:cs="Tahoma"/>
          <w:sz w:val="20"/>
          <w:szCs w:val="20"/>
        </w:rPr>
        <w:t>para la determinación gradual de la sanción previstos en el artículo 245</w:t>
      </w:r>
      <w:r w:rsidRPr="009F5ACE">
        <w:rPr>
          <w:rFonts w:ascii="Tahoma" w:hAnsi="Tahoma" w:cs="Tahoma"/>
          <w:sz w:val="20"/>
          <w:szCs w:val="20"/>
          <w:vertAlign w:val="superscript"/>
        </w:rPr>
        <w:footnoteReference w:id="7"/>
      </w:r>
      <w:r w:rsidRPr="009F5ACE">
        <w:rPr>
          <w:rFonts w:ascii="Tahoma" w:hAnsi="Tahoma" w:cs="Tahoma"/>
          <w:sz w:val="20"/>
          <w:szCs w:val="20"/>
        </w:rPr>
        <w:t xml:space="preserve"> del Reglamento.</w:t>
      </w:r>
    </w:p>
    <w:p w:rsidR="006B19EE" w:rsidRPr="009F5ACE" w:rsidRDefault="006B19EE" w:rsidP="006B19EE">
      <w:pPr>
        <w:pStyle w:val="Prrafodelista"/>
        <w:rPr>
          <w:rFonts w:ascii="Tahoma" w:hAnsi="Tahoma" w:cs="Tahoma"/>
          <w:sz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 xml:space="preserve">Además, debe tenerse en cuenta que de acuerdo al </w:t>
      </w:r>
      <w:r w:rsidRPr="009F5ACE">
        <w:rPr>
          <w:rFonts w:ascii="Tahoma" w:hAnsi="Tahoma" w:cs="Tahoma"/>
          <w:i/>
          <w:iCs/>
          <w:sz w:val="20"/>
          <w:szCs w:val="20"/>
        </w:rPr>
        <w:t>Principio de Razonabilidad</w:t>
      </w:r>
      <w:r w:rsidRPr="009F5ACE">
        <w:rPr>
          <w:rFonts w:ascii="Tahoma" w:hAnsi="Tahoma" w:cs="Tahoma"/>
          <w:sz w:val="20"/>
          <w:szCs w:val="20"/>
        </w:rPr>
        <w:t>, consagrado en el numeral 3 del artículo 230º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6B19EE" w:rsidRPr="009F5ACE" w:rsidRDefault="006B19EE" w:rsidP="006B19EE">
      <w:pPr>
        <w:spacing w:after="0" w:line="240" w:lineRule="auto"/>
        <w:ind w:left="720"/>
        <w:jc w:val="both"/>
        <w:rPr>
          <w:rFonts w:ascii="Tahoma" w:hAnsi="Tahoma" w:cs="Tahoma"/>
          <w:sz w:val="20"/>
          <w:szCs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En lo que atañe a la conducta procesal del infractor durante la sustanciación del presente procedimiento administrativo sancionador, es necesario tener presente que el Postor no ha presentado los descargos solicitados.</w:t>
      </w:r>
    </w:p>
    <w:p w:rsidR="003B164E" w:rsidRPr="009F5ACE" w:rsidRDefault="003B164E" w:rsidP="006B19EE">
      <w:pPr>
        <w:pStyle w:val="Prrafodelista"/>
        <w:rPr>
          <w:rFonts w:ascii="Tahoma" w:hAnsi="Tahoma" w:cs="Tahoma"/>
          <w:sz w:val="20"/>
        </w:rPr>
      </w:pPr>
    </w:p>
    <w:p w:rsidR="006B19E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lastRenderedPageBreak/>
        <w:t>Asimismo, lo antes expuesto se encuentra relacionado a la intencionalidad del infractor, pues su conducta llevaba implícita la consecución de un fin, es decir continuar garantizando la entrega del adelanto destinado a materiales e insumos, ocasionando de esta manera que el desembolso de dinero anticipado, no cuente con un sustento o respaldo financiero real.</w:t>
      </w:r>
    </w:p>
    <w:p w:rsidR="006B19EE" w:rsidRPr="009F5ACE" w:rsidRDefault="006B19EE" w:rsidP="006B19EE">
      <w:pPr>
        <w:pStyle w:val="Prrafodelista"/>
        <w:rPr>
          <w:rFonts w:ascii="Tahoma" w:hAnsi="Tahoma" w:cs="Tahoma"/>
          <w:sz w:val="20"/>
        </w:rPr>
      </w:pPr>
    </w:p>
    <w:p w:rsidR="003B164E" w:rsidRPr="009F5ACE" w:rsidRDefault="003B164E" w:rsidP="006B19EE">
      <w:pPr>
        <w:numPr>
          <w:ilvl w:val="0"/>
          <w:numId w:val="7"/>
        </w:numPr>
        <w:spacing w:after="0" w:line="240" w:lineRule="auto"/>
        <w:jc w:val="both"/>
        <w:rPr>
          <w:rFonts w:ascii="Tahoma" w:hAnsi="Tahoma" w:cs="Tahoma"/>
          <w:sz w:val="20"/>
          <w:szCs w:val="20"/>
        </w:rPr>
      </w:pPr>
      <w:r w:rsidRPr="009F5ACE">
        <w:rPr>
          <w:rFonts w:ascii="Tahoma" w:hAnsi="Tahoma" w:cs="Tahoma"/>
          <w:sz w:val="20"/>
          <w:szCs w:val="20"/>
        </w:rPr>
        <w:t xml:space="preserve">Por otro lado, no puede dejar de valorarse que el Postor no ha sido sancionado anteriormente por este Colegiado. </w:t>
      </w:r>
    </w:p>
    <w:p w:rsidR="006B19EE" w:rsidRPr="009F5ACE" w:rsidRDefault="006B19EE" w:rsidP="006B19EE">
      <w:pPr>
        <w:widowControl w:val="0"/>
        <w:suppressAutoHyphens/>
        <w:spacing w:after="0" w:line="240" w:lineRule="auto"/>
        <w:ind w:left="720"/>
        <w:jc w:val="both"/>
        <w:rPr>
          <w:rFonts w:ascii="Tahoma" w:hAnsi="Tahoma" w:cs="Tahoma"/>
          <w:sz w:val="20"/>
          <w:szCs w:val="20"/>
        </w:rPr>
      </w:pPr>
    </w:p>
    <w:p w:rsidR="003B164E" w:rsidRPr="009F5ACE" w:rsidRDefault="003B164E" w:rsidP="006B19EE">
      <w:pPr>
        <w:widowControl w:val="0"/>
        <w:numPr>
          <w:ilvl w:val="0"/>
          <w:numId w:val="7"/>
        </w:numPr>
        <w:suppressAutoHyphens/>
        <w:spacing w:after="0" w:line="240" w:lineRule="auto"/>
        <w:jc w:val="both"/>
        <w:rPr>
          <w:rFonts w:ascii="Tahoma" w:hAnsi="Tahoma" w:cs="Tahoma"/>
          <w:sz w:val="20"/>
          <w:szCs w:val="20"/>
        </w:rPr>
      </w:pPr>
      <w:r w:rsidRPr="009F5ACE">
        <w:rPr>
          <w:rFonts w:ascii="Tahoma" w:hAnsi="Tahoma" w:cs="Tahoma"/>
          <w:sz w:val="20"/>
          <w:szCs w:val="20"/>
        </w:rPr>
        <w:t>Consecuentemente, en virtud a los criterios expuestos, este Colegiado considera que corresponde imponer al Postor una sanción equivalente a doce (12) meses de inhabilitación temporal para participar en procesos de selección y para contratar con el Estado.</w:t>
      </w:r>
    </w:p>
    <w:p w:rsidR="006B19EE" w:rsidRPr="009F5ACE" w:rsidRDefault="006B19EE" w:rsidP="006B19EE">
      <w:pPr>
        <w:spacing w:after="0" w:line="240" w:lineRule="auto"/>
        <w:ind w:left="720"/>
        <w:jc w:val="both"/>
        <w:rPr>
          <w:rFonts w:ascii="Tahoma" w:hAnsi="Tahoma" w:cs="Tahoma"/>
          <w:b/>
          <w:bCs/>
          <w:sz w:val="20"/>
          <w:szCs w:val="20"/>
        </w:rPr>
      </w:pPr>
    </w:p>
    <w:p w:rsidR="003B164E" w:rsidRPr="009F5ACE" w:rsidRDefault="003B164E" w:rsidP="006B19EE">
      <w:pPr>
        <w:numPr>
          <w:ilvl w:val="0"/>
          <w:numId w:val="7"/>
        </w:numPr>
        <w:spacing w:after="0" w:line="240" w:lineRule="auto"/>
        <w:jc w:val="both"/>
        <w:rPr>
          <w:rFonts w:ascii="Tahoma" w:hAnsi="Tahoma" w:cs="Tahoma"/>
          <w:b/>
          <w:bCs/>
          <w:sz w:val="20"/>
          <w:szCs w:val="20"/>
        </w:rPr>
      </w:pPr>
      <w:r w:rsidRPr="009F5ACE">
        <w:rPr>
          <w:rFonts w:ascii="Tahoma" w:hAnsi="Tahoma" w:cs="Tahoma"/>
          <w:sz w:val="20"/>
          <w:szCs w:val="20"/>
        </w:rPr>
        <w:t>Finalmente, atendiendo a que la falsificación de documentos constituye un ilícito penal, previsto y sancionado en el artículo 427º del Código Penal</w:t>
      </w:r>
      <w:r w:rsidRPr="009F5ACE">
        <w:rPr>
          <w:rFonts w:ascii="Tahoma" w:hAnsi="Tahoma" w:cs="Tahoma"/>
          <w:sz w:val="20"/>
          <w:szCs w:val="20"/>
          <w:vertAlign w:val="superscript"/>
        </w:rPr>
        <w:footnoteReference w:id="8"/>
      </w:r>
      <w:r w:rsidRPr="009F5ACE">
        <w:rPr>
          <w:rFonts w:ascii="Tahoma" w:hAnsi="Tahoma" w:cs="Tahoma"/>
          <w:sz w:val="20"/>
          <w:szCs w:val="20"/>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438º del referido Código Penal</w:t>
      </w:r>
      <w:r w:rsidRPr="009F5ACE">
        <w:rPr>
          <w:rFonts w:ascii="Tahoma" w:hAnsi="Tahoma" w:cs="Tahoma"/>
          <w:sz w:val="20"/>
          <w:szCs w:val="20"/>
          <w:vertAlign w:val="superscript"/>
        </w:rPr>
        <w:footnoteReference w:id="9"/>
      </w:r>
      <w:r w:rsidRPr="009F5ACE">
        <w:rPr>
          <w:rFonts w:ascii="Tahoma" w:hAnsi="Tahoma" w:cs="Tahoma"/>
          <w:sz w:val="20"/>
          <w:szCs w:val="20"/>
        </w:rPr>
        <w:t>, también se encuentran tipificados como delito de falsedad genérica aquellos en los que se cometa falsedad simulando, suponiendo, alterando la verdad intencionalmente y con perjuicio de terceros, por palabras, hechos o usurpando nombre, calidad o empleo que no le corresponde, se dispone poner en conocimiento del Ministerio Público y la Presidencia del OSCE los hechos expuestos para que procedan conforme a sus atribuciones.</w:t>
      </w:r>
    </w:p>
    <w:p w:rsidR="003B164E" w:rsidRPr="009F5ACE" w:rsidRDefault="003B164E" w:rsidP="006B19EE">
      <w:pPr>
        <w:spacing w:after="0" w:line="240" w:lineRule="auto"/>
        <w:ind w:firstLine="567"/>
        <w:jc w:val="both"/>
        <w:rPr>
          <w:rFonts w:ascii="Tahoma" w:hAnsi="Tahoma" w:cs="Tahoma"/>
          <w:sz w:val="20"/>
          <w:szCs w:val="20"/>
        </w:rPr>
      </w:pPr>
    </w:p>
    <w:p w:rsidR="003B164E" w:rsidRPr="009F5ACE" w:rsidRDefault="003B164E" w:rsidP="006B19EE">
      <w:pPr>
        <w:spacing w:after="0" w:line="240" w:lineRule="auto"/>
        <w:ind w:left="-284" w:firstLine="360"/>
        <w:jc w:val="both"/>
        <w:rPr>
          <w:rFonts w:ascii="Tahoma" w:hAnsi="Tahoma" w:cs="Tahoma"/>
          <w:sz w:val="20"/>
          <w:szCs w:val="20"/>
        </w:rPr>
      </w:pPr>
      <w:r w:rsidRPr="009F5ACE">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del Estado, según lo dispuesto en la Resolución № 103-2011-OSCE/PRE, exp</w:t>
      </w:r>
      <w:r w:rsidR="009600EF">
        <w:rPr>
          <w:rFonts w:ascii="Tahoma" w:hAnsi="Tahoma" w:cs="Tahoma"/>
          <w:sz w:val="20"/>
          <w:szCs w:val="20"/>
        </w:rPr>
        <w:t>edida el 15 de febrero de 2011</w:t>
      </w:r>
      <w:r w:rsidRPr="009F5ACE">
        <w:rPr>
          <w:rFonts w:ascii="Tahoma" w:hAnsi="Tahoma" w:cs="Tahoma"/>
          <w:sz w:val="20"/>
          <w:szCs w:val="20"/>
        </w:rPr>
        <w:t>,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3B164E" w:rsidRPr="009F5ACE" w:rsidRDefault="003B164E" w:rsidP="006B19EE">
      <w:pPr>
        <w:spacing w:after="0" w:line="240" w:lineRule="auto"/>
        <w:jc w:val="both"/>
        <w:rPr>
          <w:rFonts w:ascii="Tahoma" w:hAnsi="Tahoma" w:cs="Tahoma"/>
          <w:sz w:val="20"/>
          <w:szCs w:val="20"/>
        </w:rPr>
      </w:pPr>
    </w:p>
    <w:p w:rsidR="003B164E" w:rsidRPr="009F5ACE" w:rsidRDefault="003B164E" w:rsidP="006B19EE">
      <w:pPr>
        <w:spacing w:after="0" w:line="240" w:lineRule="auto"/>
        <w:ind w:right="-315"/>
        <w:jc w:val="both"/>
        <w:rPr>
          <w:rFonts w:ascii="Tahoma" w:hAnsi="Tahoma" w:cs="Tahoma"/>
          <w:b/>
          <w:sz w:val="20"/>
          <w:szCs w:val="20"/>
        </w:rPr>
      </w:pPr>
      <w:r w:rsidRPr="009F5ACE">
        <w:rPr>
          <w:rFonts w:ascii="Tahoma" w:hAnsi="Tahoma" w:cs="Tahoma"/>
          <w:b/>
          <w:sz w:val="20"/>
          <w:szCs w:val="20"/>
        </w:rPr>
        <w:t>LA SALA RESUELVE:</w:t>
      </w:r>
    </w:p>
    <w:p w:rsidR="003B164E" w:rsidRPr="009F5ACE" w:rsidRDefault="003B164E" w:rsidP="006B19EE">
      <w:pPr>
        <w:spacing w:after="0" w:line="240" w:lineRule="auto"/>
        <w:ind w:left="360"/>
        <w:jc w:val="both"/>
        <w:rPr>
          <w:rFonts w:ascii="Tahoma" w:hAnsi="Tahoma" w:cs="Tahoma"/>
          <w:sz w:val="20"/>
          <w:szCs w:val="20"/>
        </w:rPr>
      </w:pPr>
    </w:p>
    <w:p w:rsidR="003B164E" w:rsidRPr="009F5ACE" w:rsidRDefault="003B164E" w:rsidP="006B19EE">
      <w:pPr>
        <w:numPr>
          <w:ilvl w:val="0"/>
          <w:numId w:val="9"/>
        </w:numPr>
        <w:spacing w:after="0" w:line="240" w:lineRule="auto"/>
        <w:jc w:val="both"/>
        <w:rPr>
          <w:rFonts w:ascii="Tahoma" w:hAnsi="Tahoma" w:cs="Tahoma"/>
          <w:sz w:val="20"/>
          <w:szCs w:val="20"/>
        </w:rPr>
      </w:pPr>
      <w:r w:rsidRPr="009F5ACE">
        <w:rPr>
          <w:rFonts w:ascii="Tahoma" w:hAnsi="Tahoma" w:cs="Tahoma"/>
          <w:sz w:val="20"/>
          <w:szCs w:val="20"/>
          <w:lang w:val="es-PE"/>
        </w:rPr>
        <w:t xml:space="preserve">Imponer a la empresa </w:t>
      </w:r>
      <w:r w:rsidRPr="009F5ACE">
        <w:rPr>
          <w:rFonts w:ascii="Tahoma" w:hAnsi="Tahoma" w:cs="Tahoma"/>
          <w:sz w:val="20"/>
          <w:szCs w:val="20"/>
        </w:rPr>
        <w:t xml:space="preserve">MMK CONSTRUCTORES ASOCIADOS E.I.R.L, sanción administrativa de inhabilitación temporal por el período de doce (12) meses en sus derechos de participar en procesos de selección y contratar con el Estado, por la comisión de la infracción </w:t>
      </w:r>
      <w:r w:rsidRPr="009F5ACE">
        <w:rPr>
          <w:rFonts w:ascii="Tahoma" w:hAnsi="Tahoma" w:cs="Tahoma"/>
          <w:sz w:val="20"/>
          <w:szCs w:val="20"/>
        </w:rPr>
        <w:lastRenderedPageBreak/>
        <w:t>tipificada en el literal i) del numeral 51.1 del artículo 51 de la Ley de Contrataciones del Estado, aprobado por Decreto Legislativo Nº 1017, y en el literal i) del numeral 1 del artículo 237º de su Reglamento, la cual entrará en vigencia a partir del sexto día hábil de notificada la presente Resolución.</w:t>
      </w:r>
    </w:p>
    <w:p w:rsidR="00916DCA" w:rsidRPr="009F5ACE" w:rsidRDefault="00916DCA" w:rsidP="006B19EE">
      <w:pPr>
        <w:spacing w:after="0" w:line="240" w:lineRule="auto"/>
        <w:ind w:left="360"/>
        <w:jc w:val="both"/>
        <w:rPr>
          <w:rFonts w:ascii="Tahoma" w:hAnsi="Tahoma" w:cs="Tahoma"/>
          <w:sz w:val="20"/>
          <w:szCs w:val="20"/>
        </w:rPr>
      </w:pPr>
    </w:p>
    <w:p w:rsidR="003B164E" w:rsidRPr="009F5ACE" w:rsidRDefault="003B164E" w:rsidP="006B19EE">
      <w:pPr>
        <w:numPr>
          <w:ilvl w:val="0"/>
          <w:numId w:val="9"/>
        </w:numPr>
        <w:spacing w:after="0" w:line="240" w:lineRule="auto"/>
        <w:jc w:val="both"/>
        <w:rPr>
          <w:rFonts w:ascii="Tahoma" w:hAnsi="Tahoma" w:cs="Tahoma"/>
          <w:sz w:val="20"/>
          <w:szCs w:val="20"/>
        </w:rPr>
      </w:pPr>
      <w:r w:rsidRPr="009F5ACE">
        <w:rPr>
          <w:rFonts w:ascii="Tahoma" w:hAnsi="Tahoma" w:cs="Tahoma"/>
          <w:sz w:val="20"/>
          <w:szCs w:val="20"/>
        </w:rPr>
        <w:t>Poner la presente Resolución en conocimiento de la Subdirección del Registro Nacional de Proveedores del Organismo Supervisor de la Contrataciones del Estado (OSCE), para las anotaciones de ley.</w:t>
      </w:r>
    </w:p>
    <w:p w:rsidR="003B164E" w:rsidRPr="009F5ACE" w:rsidRDefault="003B164E" w:rsidP="006B19EE">
      <w:pPr>
        <w:pStyle w:val="Prrafodelista"/>
        <w:rPr>
          <w:rFonts w:ascii="Tahoma" w:hAnsi="Tahoma" w:cs="Tahoma"/>
          <w:sz w:val="20"/>
          <w:lang w:val="es-ES"/>
        </w:rPr>
      </w:pPr>
    </w:p>
    <w:p w:rsidR="003B164E" w:rsidRPr="009F5ACE" w:rsidRDefault="003B164E" w:rsidP="006B19EE">
      <w:pPr>
        <w:numPr>
          <w:ilvl w:val="0"/>
          <w:numId w:val="9"/>
        </w:numPr>
        <w:spacing w:after="0" w:line="240" w:lineRule="auto"/>
        <w:jc w:val="both"/>
        <w:rPr>
          <w:rFonts w:ascii="Tahoma" w:hAnsi="Tahoma" w:cs="Tahoma"/>
          <w:sz w:val="20"/>
          <w:szCs w:val="20"/>
        </w:rPr>
      </w:pPr>
      <w:r w:rsidRPr="009F5ACE">
        <w:rPr>
          <w:rFonts w:ascii="Tahoma" w:hAnsi="Tahoma" w:cs="Tahoma"/>
          <w:sz w:val="20"/>
          <w:szCs w:val="20"/>
        </w:rPr>
        <w:t>Poner la presente Resolución en conocimiento del Ministerio Público y de la Presidencia Ejecutiva del Organismo Supervisor de las Contrataciones del Estado (OSCE), para que en mérito de sus atribuciones, adopte las medidas que estime pertinente.</w:t>
      </w:r>
    </w:p>
    <w:p w:rsidR="003B164E" w:rsidRPr="009F5ACE" w:rsidRDefault="003B164E" w:rsidP="006B19EE">
      <w:pPr>
        <w:pStyle w:val="Ttulo3"/>
        <w:spacing w:line="240" w:lineRule="auto"/>
        <w:jc w:val="both"/>
        <w:rPr>
          <w:rFonts w:ascii="Tahoma" w:hAnsi="Tahoma" w:cs="Tahoma"/>
          <w:b w:val="0"/>
          <w:bCs w:val="0"/>
          <w:sz w:val="20"/>
          <w:szCs w:val="20"/>
        </w:rPr>
      </w:pPr>
      <w:r w:rsidRPr="009F5ACE">
        <w:rPr>
          <w:rFonts w:ascii="Tahoma" w:hAnsi="Tahoma" w:cs="Tahoma"/>
          <w:b w:val="0"/>
          <w:sz w:val="20"/>
          <w:szCs w:val="20"/>
        </w:rPr>
        <w:t>Regístrese, comuníquese y publíquese.</w:t>
      </w:r>
    </w:p>
    <w:p w:rsidR="003B164E" w:rsidRPr="009F5ACE" w:rsidRDefault="003B164E" w:rsidP="006B19EE">
      <w:pPr>
        <w:spacing w:after="0" w:line="240" w:lineRule="auto"/>
        <w:jc w:val="both"/>
        <w:rPr>
          <w:rFonts w:ascii="Tahoma" w:hAnsi="Tahoma" w:cs="Tahoma"/>
          <w:b/>
          <w:shadow/>
          <w:sz w:val="20"/>
          <w:szCs w:val="20"/>
        </w:rPr>
      </w:pPr>
    </w:p>
    <w:p w:rsidR="003B164E" w:rsidRPr="009F5ACE" w:rsidRDefault="003B164E" w:rsidP="006B19EE">
      <w:pPr>
        <w:spacing w:after="0" w:line="240" w:lineRule="auto"/>
        <w:jc w:val="both"/>
        <w:rPr>
          <w:rFonts w:ascii="Tahoma" w:hAnsi="Tahoma" w:cs="Tahoma"/>
          <w:b/>
          <w:shadow/>
          <w:sz w:val="20"/>
          <w:szCs w:val="20"/>
        </w:rPr>
      </w:pPr>
    </w:p>
    <w:p w:rsidR="003B164E" w:rsidRPr="009F5ACE" w:rsidRDefault="003B164E" w:rsidP="006B19EE">
      <w:pPr>
        <w:spacing w:after="0" w:line="240" w:lineRule="auto"/>
        <w:jc w:val="both"/>
        <w:rPr>
          <w:rFonts w:ascii="Tahoma" w:hAnsi="Tahoma" w:cs="Tahoma"/>
          <w:b/>
          <w:shadow/>
          <w:sz w:val="20"/>
          <w:szCs w:val="20"/>
        </w:rPr>
      </w:pPr>
    </w:p>
    <w:p w:rsidR="003B164E" w:rsidRPr="009F5ACE" w:rsidRDefault="003B164E" w:rsidP="006B19EE">
      <w:pPr>
        <w:spacing w:after="0" w:line="240" w:lineRule="auto"/>
        <w:jc w:val="both"/>
        <w:rPr>
          <w:rFonts w:ascii="Tahoma" w:hAnsi="Tahoma" w:cs="Tahoma"/>
          <w:b/>
          <w:shadow/>
          <w:sz w:val="20"/>
          <w:szCs w:val="20"/>
        </w:rPr>
      </w:pPr>
    </w:p>
    <w:p w:rsidR="003B164E" w:rsidRPr="009F5ACE" w:rsidRDefault="003B164E" w:rsidP="006B19EE">
      <w:pPr>
        <w:spacing w:after="0" w:line="240" w:lineRule="auto"/>
        <w:ind w:left="2832" w:firstLine="708"/>
        <w:jc w:val="both"/>
        <w:rPr>
          <w:rFonts w:ascii="Tahoma" w:hAnsi="Tahoma" w:cs="Tahoma"/>
          <w:b/>
          <w:shadow/>
          <w:sz w:val="20"/>
          <w:szCs w:val="20"/>
        </w:rPr>
      </w:pPr>
      <w:r w:rsidRPr="009F5ACE">
        <w:rPr>
          <w:rFonts w:ascii="Tahoma" w:hAnsi="Tahoma" w:cs="Tahoma"/>
          <w:b/>
          <w:shadow/>
          <w:sz w:val="20"/>
          <w:szCs w:val="20"/>
        </w:rPr>
        <w:t>PRESIDENTE</w:t>
      </w:r>
    </w:p>
    <w:p w:rsidR="003B164E" w:rsidRPr="009F5ACE" w:rsidRDefault="003B164E" w:rsidP="006B19EE">
      <w:pPr>
        <w:spacing w:after="0" w:line="240" w:lineRule="auto"/>
        <w:jc w:val="both"/>
        <w:rPr>
          <w:rFonts w:ascii="Tahoma" w:hAnsi="Tahoma" w:cs="Tahoma"/>
          <w:b/>
          <w:shadow/>
          <w:sz w:val="20"/>
          <w:szCs w:val="20"/>
        </w:rPr>
      </w:pPr>
    </w:p>
    <w:p w:rsidR="003B164E" w:rsidRPr="009F5ACE" w:rsidRDefault="003B164E" w:rsidP="006B19EE">
      <w:pPr>
        <w:spacing w:after="0" w:line="240" w:lineRule="auto"/>
        <w:jc w:val="both"/>
        <w:rPr>
          <w:rFonts w:ascii="Tahoma" w:hAnsi="Tahoma" w:cs="Tahoma"/>
          <w:b/>
          <w:shadow/>
          <w:sz w:val="20"/>
          <w:szCs w:val="20"/>
        </w:rPr>
      </w:pPr>
    </w:p>
    <w:p w:rsidR="003B164E" w:rsidRPr="009F5ACE" w:rsidRDefault="003B164E" w:rsidP="006B19EE">
      <w:pPr>
        <w:spacing w:after="0" w:line="240" w:lineRule="auto"/>
        <w:jc w:val="both"/>
        <w:rPr>
          <w:rFonts w:ascii="Tahoma" w:hAnsi="Tahoma" w:cs="Tahoma"/>
          <w:b/>
          <w:shadow/>
          <w:sz w:val="20"/>
          <w:szCs w:val="20"/>
        </w:rPr>
      </w:pPr>
    </w:p>
    <w:p w:rsidR="003B164E" w:rsidRPr="009F5ACE" w:rsidRDefault="003B164E" w:rsidP="006B19EE">
      <w:pPr>
        <w:spacing w:after="0" w:line="240" w:lineRule="auto"/>
        <w:jc w:val="both"/>
        <w:rPr>
          <w:rFonts w:ascii="Tahoma" w:hAnsi="Tahoma" w:cs="Tahoma"/>
          <w:b/>
          <w:shadow/>
          <w:sz w:val="20"/>
          <w:szCs w:val="20"/>
        </w:rPr>
      </w:pPr>
    </w:p>
    <w:p w:rsidR="003B164E" w:rsidRPr="009F5ACE" w:rsidRDefault="003B164E" w:rsidP="006B19EE">
      <w:pPr>
        <w:spacing w:after="0" w:line="240" w:lineRule="auto"/>
        <w:jc w:val="both"/>
        <w:rPr>
          <w:rFonts w:ascii="Tahoma" w:hAnsi="Tahoma" w:cs="Tahoma"/>
          <w:shadow/>
          <w:sz w:val="20"/>
          <w:szCs w:val="20"/>
        </w:rPr>
      </w:pPr>
      <w:r w:rsidRPr="009F5ACE">
        <w:rPr>
          <w:rFonts w:ascii="Tahoma" w:hAnsi="Tahoma" w:cs="Tahoma"/>
          <w:b/>
          <w:shadow/>
          <w:sz w:val="20"/>
          <w:szCs w:val="20"/>
        </w:rPr>
        <w:t xml:space="preserve">                  VOCAL</w:t>
      </w:r>
      <w:r w:rsidRPr="009F5ACE">
        <w:rPr>
          <w:rFonts w:ascii="Tahoma" w:hAnsi="Tahoma" w:cs="Tahoma"/>
          <w:b/>
          <w:shadow/>
          <w:sz w:val="20"/>
          <w:szCs w:val="20"/>
        </w:rPr>
        <w:tab/>
      </w:r>
      <w:r w:rsidRPr="009F5ACE">
        <w:rPr>
          <w:rFonts w:ascii="Tahoma" w:hAnsi="Tahoma" w:cs="Tahoma"/>
          <w:b/>
          <w:shadow/>
          <w:sz w:val="20"/>
          <w:szCs w:val="20"/>
        </w:rPr>
        <w:tab/>
      </w:r>
      <w:r w:rsidRPr="009F5ACE">
        <w:rPr>
          <w:rFonts w:ascii="Tahoma" w:hAnsi="Tahoma" w:cs="Tahoma"/>
          <w:b/>
          <w:shadow/>
          <w:sz w:val="20"/>
          <w:szCs w:val="20"/>
        </w:rPr>
        <w:tab/>
      </w:r>
      <w:r w:rsidRPr="009F5ACE">
        <w:rPr>
          <w:rFonts w:ascii="Tahoma" w:hAnsi="Tahoma" w:cs="Tahoma"/>
          <w:b/>
          <w:shadow/>
          <w:sz w:val="20"/>
          <w:szCs w:val="20"/>
        </w:rPr>
        <w:tab/>
      </w:r>
      <w:r w:rsidRPr="009F5ACE">
        <w:rPr>
          <w:rFonts w:ascii="Tahoma" w:hAnsi="Tahoma" w:cs="Tahoma"/>
          <w:b/>
          <w:shadow/>
          <w:sz w:val="20"/>
          <w:szCs w:val="20"/>
        </w:rPr>
        <w:tab/>
      </w:r>
      <w:r w:rsidRPr="009F5ACE">
        <w:rPr>
          <w:rFonts w:ascii="Tahoma" w:hAnsi="Tahoma" w:cs="Tahoma"/>
          <w:b/>
          <w:shadow/>
          <w:sz w:val="20"/>
          <w:szCs w:val="20"/>
        </w:rPr>
        <w:tab/>
      </w:r>
      <w:r w:rsidRPr="009F5ACE">
        <w:rPr>
          <w:rFonts w:ascii="Tahoma" w:hAnsi="Tahoma" w:cs="Tahoma"/>
          <w:b/>
          <w:shadow/>
          <w:sz w:val="20"/>
          <w:szCs w:val="20"/>
        </w:rPr>
        <w:tab/>
      </w:r>
      <w:r w:rsidRPr="009F5ACE">
        <w:rPr>
          <w:rFonts w:ascii="Tahoma" w:hAnsi="Tahoma" w:cs="Tahoma"/>
          <w:b/>
          <w:shadow/>
          <w:sz w:val="20"/>
          <w:szCs w:val="20"/>
        </w:rPr>
        <w:tab/>
        <w:t xml:space="preserve">VOCAL                                                                 </w:t>
      </w:r>
    </w:p>
    <w:p w:rsidR="003B164E" w:rsidRPr="009F5ACE" w:rsidRDefault="003B164E" w:rsidP="006B19EE">
      <w:pPr>
        <w:spacing w:after="0" w:line="240" w:lineRule="auto"/>
        <w:jc w:val="both"/>
        <w:rPr>
          <w:rFonts w:ascii="Tahoma" w:hAnsi="Tahoma" w:cs="Tahoma"/>
          <w:sz w:val="20"/>
          <w:szCs w:val="20"/>
        </w:rPr>
      </w:pPr>
    </w:p>
    <w:p w:rsidR="003B164E" w:rsidRPr="009F5ACE" w:rsidRDefault="003B164E" w:rsidP="006B19EE">
      <w:pPr>
        <w:spacing w:after="0" w:line="240" w:lineRule="auto"/>
        <w:jc w:val="both"/>
        <w:rPr>
          <w:rFonts w:ascii="Tahoma" w:hAnsi="Tahoma" w:cs="Tahoma"/>
          <w:sz w:val="20"/>
          <w:szCs w:val="20"/>
        </w:rPr>
      </w:pPr>
    </w:p>
    <w:p w:rsidR="003B164E" w:rsidRPr="009F5ACE" w:rsidRDefault="003B164E" w:rsidP="006B19EE">
      <w:pPr>
        <w:spacing w:after="0" w:line="240" w:lineRule="auto"/>
        <w:jc w:val="both"/>
        <w:rPr>
          <w:rFonts w:ascii="Tahoma" w:hAnsi="Tahoma" w:cs="Tahoma"/>
          <w:sz w:val="20"/>
          <w:szCs w:val="20"/>
        </w:rPr>
      </w:pPr>
    </w:p>
    <w:p w:rsidR="003B164E" w:rsidRPr="009F5ACE" w:rsidRDefault="003B164E" w:rsidP="006B19EE">
      <w:pPr>
        <w:spacing w:after="0" w:line="240" w:lineRule="auto"/>
        <w:jc w:val="both"/>
        <w:rPr>
          <w:rFonts w:ascii="Tahoma" w:hAnsi="Tahoma" w:cs="Tahoma"/>
          <w:sz w:val="20"/>
          <w:szCs w:val="20"/>
        </w:rPr>
      </w:pPr>
    </w:p>
    <w:p w:rsidR="003B164E" w:rsidRPr="009F5ACE" w:rsidRDefault="003B164E" w:rsidP="006B19EE">
      <w:pPr>
        <w:spacing w:after="0" w:line="240" w:lineRule="auto"/>
        <w:jc w:val="both"/>
        <w:rPr>
          <w:rFonts w:ascii="Tahoma" w:hAnsi="Tahoma" w:cs="Tahoma"/>
          <w:sz w:val="20"/>
          <w:szCs w:val="20"/>
        </w:rPr>
      </w:pPr>
    </w:p>
    <w:p w:rsidR="003B164E" w:rsidRPr="009F5ACE" w:rsidRDefault="003B164E" w:rsidP="006B19EE">
      <w:pPr>
        <w:spacing w:after="0" w:line="240" w:lineRule="auto"/>
        <w:jc w:val="both"/>
        <w:rPr>
          <w:rFonts w:ascii="Tahoma" w:hAnsi="Tahoma" w:cs="Tahoma"/>
          <w:sz w:val="20"/>
          <w:szCs w:val="20"/>
        </w:rPr>
      </w:pPr>
      <w:r w:rsidRPr="009F5ACE">
        <w:rPr>
          <w:rFonts w:ascii="Tahoma" w:hAnsi="Tahoma" w:cs="Tahoma"/>
          <w:sz w:val="20"/>
          <w:szCs w:val="20"/>
        </w:rPr>
        <w:t>ss.</w:t>
      </w:r>
    </w:p>
    <w:p w:rsidR="003B164E" w:rsidRPr="009F5ACE" w:rsidRDefault="003B164E" w:rsidP="006B19EE">
      <w:pPr>
        <w:spacing w:after="0" w:line="240" w:lineRule="auto"/>
        <w:jc w:val="both"/>
        <w:rPr>
          <w:rFonts w:ascii="Tahoma" w:hAnsi="Tahoma" w:cs="Tahoma"/>
          <w:sz w:val="20"/>
          <w:szCs w:val="20"/>
        </w:rPr>
      </w:pPr>
      <w:r w:rsidRPr="009F5ACE">
        <w:rPr>
          <w:rFonts w:ascii="Tahoma" w:hAnsi="Tahoma" w:cs="Tahoma"/>
          <w:sz w:val="20"/>
          <w:szCs w:val="20"/>
        </w:rPr>
        <w:t>Navas Rondón,</w:t>
      </w:r>
    </w:p>
    <w:p w:rsidR="003B164E" w:rsidRPr="009F5ACE" w:rsidRDefault="003B164E" w:rsidP="006B19EE">
      <w:pPr>
        <w:spacing w:after="0" w:line="240" w:lineRule="auto"/>
        <w:jc w:val="both"/>
        <w:rPr>
          <w:rFonts w:ascii="Tahoma" w:hAnsi="Tahoma" w:cs="Tahoma"/>
          <w:sz w:val="20"/>
          <w:szCs w:val="20"/>
        </w:rPr>
      </w:pPr>
      <w:r w:rsidRPr="009F5ACE">
        <w:rPr>
          <w:rFonts w:ascii="Tahoma" w:hAnsi="Tahoma" w:cs="Tahoma"/>
          <w:sz w:val="20"/>
          <w:szCs w:val="20"/>
        </w:rPr>
        <w:t>Ramírez Maynetto,</w:t>
      </w:r>
    </w:p>
    <w:p w:rsidR="003B164E" w:rsidRPr="009F5ACE" w:rsidRDefault="003B164E" w:rsidP="006B19EE">
      <w:pPr>
        <w:spacing w:after="0" w:line="240" w:lineRule="auto"/>
        <w:jc w:val="both"/>
        <w:rPr>
          <w:rFonts w:ascii="Tahoma" w:hAnsi="Tahoma" w:cs="Tahoma"/>
          <w:sz w:val="20"/>
          <w:szCs w:val="20"/>
        </w:rPr>
      </w:pPr>
      <w:r w:rsidRPr="009F5ACE">
        <w:rPr>
          <w:rFonts w:ascii="Tahoma" w:hAnsi="Tahoma" w:cs="Tahoma"/>
          <w:sz w:val="20"/>
          <w:szCs w:val="20"/>
        </w:rPr>
        <w:t>Basulto Liewald.</w:t>
      </w:r>
    </w:p>
    <w:p w:rsidR="003B164E" w:rsidRPr="009F5ACE" w:rsidRDefault="003B164E" w:rsidP="006B19EE">
      <w:pPr>
        <w:spacing w:line="240" w:lineRule="auto"/>
        <w:rPr>
          <w:rFonts w:ascii="Tahoma" w:hAnsi="Tahoma" w:cs="Tahoma"/>
          <w:sz w:val="20"/>
          <w:szCs w:val="20"/>
        </w:rPr>
      </w:pPr>
    </w:p>
    <w:p w:rsidR="003B164E" w:rsidRPr="009F5ACE" w:rsidRDefault="003B164E" w:rsidP="006B19EE">
      <w:pPr>
        <w:spacing w:line="240" w:lineRule="auto"/>
        <w:rPr>
          <w:rFonts w:ascii="Tahoma" w:hAnsi="Tahoma" w:cs="Tahoma"/>
          <w:sz w:val="20"/>
          <w:szCs w:val="20"/>
        </w:rPr>
      </w:pPr>
    </w:p>
    <w:p w:rsidR="003B164E" w:rsidRPr="009F5ACE" w:rsidRDefault="003B164E" w:rsidP="006B19EE">
      <w:pPr>
        <w:spacing w:line="240" w:lineRule="auto"/>
        <w:rPr>
          <w:rFonts w:ascii="Tahoma" w:hAnsi="Tahoma" w:cs="Tahoma"/>
          <w:sz w:val="20"/>
          <w:szCs w:val="20"/>
        </w:rPr>
      </w:pPr>
    </w:p>
    <w:p w:rsidR="003B164E" w:rsidRPr="009F5ACE" w:rsidRDefault="003B164E" w:rsidP="006B19EE">
      <w:pPr>
        <w:spacing w:line="240" w:lineRule="auto"/>
        <w:rPr>
          <w:rFonts w:ascii="Tahoma" w:hAnsi="Tahoma" w:cs="Tahoma"/>
          <w:sz w:val="20"/>
          <w:szCs w:val="20"/>
        </w:rPr>
      </w:pPr>
    </w:p>
    <w:p w:rsidR="00916DCA" w:rsidRPr="009F5ACE" w:rsidRDefault="00916DCA" w:rsidP="006B19EE">
      <w:pPr>
        <w:spacing w:line="240" w:lineRule="auto"/>
        <w:rPr>
          <w:rFonts w:ascii="Tahoma" w:hAnsi="Tahoma" w:cs="Tahoma"/>
          <w:sz w:val="20"/>
          <w:szCs w:val="20"/>
        </w:rPr>
      </w:pPr>
    </w:p>
    <w:sectPr w:rsidR="00916DCA" w:rsidRPr="009F5ACE" w:rsidSect="00916DCA">
      <w:headerReference w:type="default" r:id="rId7"/>
      <w:footerReference w:type="default" r:id="rId8"/>
      <w:pgSz w:w="11906" w:h="16838"/>
      <w:pgMar w:top="2836" w:right="1416" w:bottom="1702"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102" w:rsidRDefault="00CE1102" w:rsidP="003B164E">
      <w:pPr>
        <w:spacing w:after="0" w:line="240" w:lineRule="auto"/>
      </w:pPr>
      <w:r>
        <w:separator/>
      </w:r>
    </w:p>
  </w:endnote>
  <w:endnote w:type="continuationSeparator" w:id="1">
    <w:p w:rsidR="00CE1102" w:rsidRDefault="00CE1102" w:rsidP="003B16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CA" w:rsidRPr="00FD5A0C" w:rsidRDefault="00916DCA">
    <w:pPr>
      <w:pStyle w:val="Piedepgina"/>
      <w:jc w:val="center"/>
      <w:rPr>
        <w:rFonts w:ascii="Tahoma" w:hAnsi="Tahoma" w:cs="Tahoma"/>
        <w:i/>
        <w:sz w:val="18"/>
        <w:szCs w:val="18"/>
      </w:rPr>
    </w:pPr>
    <w:r w:rsidRPr="00FD5A0C">
      <w:rPr>
        <w:rFonts w:ascii="Tahoma" w:hAnsi="Tahoma" w:cs="Tahoma"/>
        <w:i/>
        <w:sz w:val="18"/>
        <w:szCs w:val="18"/>
      </w:rPr>
      <w:t xml:space="preserve">Página </w:t>
    </w:r>
    <w:r w:rsidR="008E12E2" w:rsidRPr="00FD5A0C">
      <w:rPr>
        <w:rFonts w:ascii="Tahoma" w:hAnsi="Tahoma" w:cs="Tahoma"/>
        <w:i/>
        <w:sz w:val="18"/>
        <w:szCs w:val="18"/>
      </w:rPr>
      <w:fldChar w:fldCharType="begin"/>
    </w:r>
    <w:r w:rsidRPr="00FD5A0C">
      <w:rPr>
        <w:rFonts w:ascii="Tahoma" w:hAnsi="Tahoma" w:cs="Tahoma"/>
        <w:i/>
        <w:sz w:val="18"/>
        <w:szCs w:val="18"/>
      </w:rPr>
      <w:instrText>PAGE</w:instrText>
    </w:r>
    <w:r w:rsidR="008E12E2" w:rsidRPr="00FD5A0C">
      <w:rPr>
        <w:rFonts w:ascii="Tahoma" w:hAnsi="Tahoma" w:cs="Tahoma"/>
        <w:i/>
        <w:sz w:val="18"/>
        <w:szCs w:val="18"/>
      </w:rPr>
      <w:fldChar w:fldCharType="separate"/>
    </w:r>
    <w:r w:rsidR="00C234F2">
      <w:rPr>
        <w:rFonts w:ascii="Tahoma" w:hAnsi="Tahoma" w:cs="Tahoma"/>
        <w:i/>
        <w:noProof/>
        <w:sz w:val="18"/>
        <w:szCs w:val="18"/>
      </w:rPr>
      <w:t>1</w:t>
    </w:r>
    <w:r w:rsidR="008E12E2" w:rsidRPr="00FD5A0C">
      <w:rPr>
        <w:rFonts w:ascii="Tahoma" w:hAnsi="Tahoma" w:cs="Tahoma"/>
        <w:i/>
        <w:sz w:val="18"/>
        <w:szCs w:val="18"/>
      </w:rPr>
      <w:fldChar w:fldCharType="end"/>
    </w:r>
    <w:r w:rsidRPr="00FD5A0C">
      <w:rPr>
        <w:rFonts w:ascii="Tahoma" w:hAnsi="Tahoma" w:cs="Tahoma"/>
        <w:i/>
        <w:sz w:val="18"/>
        <w:szCs w:val="18"/>
      </w:rPr>
      <w:t xml:space="preserve"> de </w:t>
    </w:r>
    <w:r w:rsidR="008E12E2" w:rsidRPr="00FD5A0C">
      <w:rPr>
        <w:rFonts w:ascii="Tahoma" w:hAnsi="Tahoma" w:cs="Tahoma"/>
        <w:i/>
        <w:sz w:val="18"/>
        <w:szCs w:val="18"/>
      </w:rPr>
      <w:fldChar w:fldCharType="begin"/>
    </w:r>
    <w:r w:rsidRPr="00FD5A0C">
      <w:rPr>
        <w:rFonts w:ascii="Tahoma" w:hAnsi="Tahoma" w:cs="Tahoma"/>
        <w:i/>
        <w:sz w:val="18"/>
        <w:szCs w:val="18"/>
      </w:rPr>
      <w:instrText>NUMPAGES</w:instrText>
    </w:r>
    <w:r w:rsidR="008E12E2" w:rsidRPr="00FD5A0C">
      <w:rPr>
        <w:rFonts w:ascii="Tahoma" w:hAnsi="Tahoma" w:cs="Tahoma"/>
        <w:i/>
        <w:sz w:val="18"/>
        <w:szCs w:val="18"/>
      </w:rPr>
      <w:fldChar w:fldCharType="separate"/>
    </w:r>
    <w:r w:rsidR="00C234F2">
      <w:rPr>
        <w:rFonts w:ascii="Tahoma" w:hAnsi="Tahoma" w:cs="Tahoma"/>
        <w:i/>
        <w:noProof/>
        <w:sz w:val="18"/>
        <w:szCs w:val="18"/>
      </w:rPr>
      <w:t>8</w:t>
    </w:r>
    <w:r w:rsidR="008E12E2" w:rsidRPr="00FD5A0C">
      <w:rPr>
        <w:rFonts w:ascii="Tahoma" w:hAnsi="Tahoma" w:cs="Tahoma"/>
        <w:i/>
        <w:sz w:val="18"/>
        <w:szCs w:val="18"/>
      </w:rPr>
      <w:fldChar w:fldCharType="end"/>
    </w:r>
  </w:p>
  <w:p w:rsidR="00916DCA" w:rsidRDefault="00916DC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102" w:rsidRDefault="00CE1102" w:rsidP="003B164E">
      <w:pPr>
        <w:spacing w:after="0" w:line="240" w:lineRule="auto"/>
      </w:pPr>
      <w:r>
        <w:separator/>
      </w:r>
    </w:p>
  </w:footnote>
  <w:footnote w:type="continuationSeparator" w:id="1">
    <w:p w:rsidR="00CE1102" w:rsidRDefault="00CE1102" w:rsidP="003B164E">
      <w:pPr>
        <w:spacing w:after="0" w:line="240" w:lineRule="auto"/>
      </w:pPr>
      <w:r>
        <w:continuationSeparator/>
      </w:r>
    </w:p>
  </w:footnote>
  <w:footnote w:id="2">
    <w:p w:rsidR="00916DCA" w:rsidRPr="0040213E" w:rsidRDefault="00916DCA" w:rsidP="003B164E">
      <w:pPr>
        <w:pStyle w:val="Textonotapie"/>
        <w:rPr>
          <w:rFonts w:ascii="Times New Roman" w:hAnsi="Times New Roman" w:cs="Times New Roman"/>
          <w:i/>
          <w:iCs/>
          <w:sz w:val="18"/>
          <w:szCs w:val="18"/>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i/>
          <w:iCs/>
          <w:sz w:val="18"/>
          <w:szCs w:val="18"/>
        </w:rPr>
        <w:t xml:space="preserve"> Aprobada por Decreto Legislativo Nº 1017.</w:t>
      </w:r>
    </w:p>
    <w:p w:rsidR="00916DCA" w:rsidRDefault="00916DCA" w:rsidP="003B164E">
      <w:pPr>
        <w:pStyle w:val="Textonotapie"/>
      </w:pPr>
    </w:p>
  </w:footnote>
  <w:footnote w:id="3">
    <w:p w:rsidR="00916DCA" w:rsidRPr="0040213E" w:rsidRDefault="00916DCA" w:rsidP="003B164E">
      <w:pPr>
        <w:pStyle w:val="Textonotapie"/>
        <w:rPr>
          <w:rFonts w:ascii="Times New Roman" w:hAnsi="Times New Roman" w:cs="Times New Roman"/>
          <w:i/>
          <w:iCs/>
          <w:sz w:val="18"/>
          <w:szCs w:val="18"/>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i/>
          <w:iCs/>
          <w:sz w:val="18"/>
          <w:szCs w:val="18"/>
        </w:rPr>
        <w:t xml:space="preserve"> Aprobado por Decreto Supremo Nº 184-2008-EF.</w:t>
      </w:r>
    </w:p>
    <w:p w:rsidR="00916DCA" w:rsidRDefault="00916DCA" w:rsidP="003B164E">
      <w:pPr>
        <w:pStyle w:val="Textonotapie"/>
      </w:pPr>
    </w:p>
  </w:footnote>
  <w:footnote w:id="4">
    <w:p w:rsidR="00916DCA" w:rsidRPr="0040213E" w:rsidRDefault="00916DCA" w:rsidP="003B164E">
      <w:pPr>
        <w:pStyle w:val="Textonotapie"/>
        <w:rPr>
          <w:rFonts w:ascii="Times New Roman" w:hAnsi="Times New Roman" w:cs="Times New Roman"/>
          <w:i/>
          <w:iCs/>
          <w:sz w:val="18"/>
          <w:szCs w:val="18"/>
        </w:rPr>
      </w:pPr>
      <w:r w:rsidRPr="0040213E">
        <w:rPr>
          <w:rStyle w:val="Refdenotaalpie"/>
          <w:rFonts w:ascii="Times New Roman" w:hAnsi="Times New Roman" w:cs="Times New Roman"/>
          <w:b/>
          <w:bCs/>
          <w:i/>
          <w:iCs/>
          <w:sz w:val="18"/>
          <w:szCs w:val="18"/>
        </w:rPr>
        <w:footnoteRef/>
      </w:r>
      <w:r w:rsidRPr="0040213E">
        <w:rPr>
          <w:rFonts w:ascii="Times New Roman" w:hAnsi="Times New Roman" w:cs="Times New Roman"/>
          <w:i/>
          <w:iCs/>
          <w:sz w:val="18"/>
          <w:szCs w:val="18"/>
        </w:rPr>
        <w:t xml:space="preserve"> </w:t>
      </w:r>
      <w:r w:rsidRPr="0040213E">
        <w:rPr>
          <w:rFonts w:ascii="Times New Roman" w:hAnsi="Times New Roman" w:cs="Times New Roman"/>
          <w:b/>
          <w:bCs/>
          <w:i/>
          <w:iCs/>
          <w:sz w:val="18"/>
          <w:szCs w:val="18"/>
        </w:rPr>
        <w:t>El Principio de Presunción de Veracidad</w:t>
      </w:r>
      <w:r w:rsidRPr="0040213E">
        <w:rPr>
          <w:rFonts w:ascii="Times New Roman" w:hAnsi="Times New Roman" w:cs="Times New Roman"/>
          <w:i/>
          <w:iCs/>
          <w:sz w:val="18"/>
          <w:szCs w:val="18"/>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40213E">
        <w:rPr>
          <w:rFonts w:ascii="Times New Roman" w:hAnsi="Times New Roman" w:cs="Times New Roman"/>
          <w:b/>
          <w:bCs/>
          <w:i/>
          <w:iCs/>
          <w:sz w:val="18"/>
          <w:szCs w:val="18"/>
        </w:rPr>
        <w:t>Comentarios a la Ley del Procedimiento Administrativo General</w:t>
      </w:r>
      <w:r w:rsidRPr="0040213E">
        <w:rPr>
          <w:rFonts w:ascii="Times New Roman" w:hAnsi="Times New Roman" w:cs="Times New Roman"/>
          <w:i/>
          <w:iCs/>
          <w:sz w:val="18"/>
          <w:szCs w:val="18"/>
        </w:rPr>
        <w:t>. Cuarta Edición. Lima: Gaceta Jurídica, 2005; pp. 74 -75.</w:t>
      </w:r>
    </w:p>
    <w:p w:rsidR="00916DCA" w:rsidRDefault="00916DCA" w:rsidP="003B164E">
      <w:pPr>
        <w:pStyle w:val="Textonotapie"/>
      </w:pPr>
    </w:p>
  </w:footnote>
  <w:footnote w:id="5">
    <w:p w:rsidR="00916DCA" w:rsidRDefault="00916DCA" w:rsidP="003B164E">
      <w:pPr>
        <w:pStyle w:val="Textonotapie"/>
      </w:pPr>
      <w:r w:rsidRPr="00E65606">
        <w:rPr>
          <w:rStyle w:val="Refdenotaalpie"/>
          <w:rFonts w:ascii="Times New Roman" w:hAnsi="Times New Roman" w:cs="Times New Roman"/>
          <w:i/>
          <w:iCs/>
          <w:sz w:val="18"/>
          <w:szCs w:val="18"/>
        </w:rPr>
        <w:footnoteRef/>
      </w:r>
      <w:r w:rsidRPr="00E65606">
        <w:rPr>
          <w:rFonts w:ascii="Times New Roman" w:hAnsi="Times New Roman" w:cs="Times New Roman"/>
          <w:i/>
          <w:iCs/>
          <w:sz w:val="18"/>
          <w:szCs w:val="18"/>
        </w:rPr>
        <w:t xml:space="preserve"> Documento obrante a fojas </w:t>
      </w:r>
      <w:r>
        <w:rPr>
          <w:rFonts w:ascii="Times New Roman" w:hAnsi="Times New Roman" w:cs="Times New Roman"/>
          <w:i/>
          <w:iCs/>
          <w:sz w:val="18"/>
          <w:szCs w:val="18"/>
        </w:rPr>
        <w:t>21 de autos.</w:t>
      </w:r>
    </w:p>
  </w:footnote>
  <w:footnote w:id="6">
    <w:p w:rsidR="00916DCA" w:rsidRDefault="00916DCA" w:rsidP="003B164E">
      <w:pPr>
        <w:pStyle w:val="Textonotapie"/>
      </w:pPr>
      <w:r>
        <w:rPr>
          <w:rStyle w:val="Refdenotaalpie"/>
        </w:rPr>
        <w:footnoteRef/>
      </w:r>
      <w:r>
        <w:t xml:space="preserve"> </w:t>
      </w:r>
      <w:r w:rsidRPr="00353B55">
        <w:rPr>
          <w:i/>
          <w:iCs/>
          <w:sz w:val="16"/>
          <w:szCs w:val="16"/>
        </w:rPr>
        <w:t>Documento obrante a fojas 0</w:t>
      </w:r>
      <w:r>
        <w:rPr>
          <w:i/>
          <w:iCs/>
          <w:sz w:val="16"/>
          <w:szCs w:val="16"/>
        </w:rPr>
        <w:t>37</w:t>
      </w:r>
      <w:r w:rsidRPr="00353B55">
        <w:rPr>
          <w:i/>
          <w:iCs/>
          <w:sz w:val="16"/>
          <w:szCs w:val="16"/>
        </w:rPr>
        <w:t xml:space="preserve"> de autos.</w:t>
      </w:r>
    </w:p>
  </w:footnote>
  <w:footnote w:id="7">
    <w:p w:rsidR="00916DCA" w:rsidRPr="00F42138" w:rsidRDefault="00916DCA" w:rsidP="003B164E">
      <w:pPr>
        <w:pStyle w:val="Textonotapie"/>
        <w:ind w:left="142" w:hanging="142"/>
        <w:rPr>
          <w:rFonts w:ascii="Times New Roman" w:hAnsi="Times New Roman" w:cs="Times New Roman"/>
          <w:b/>
          <w:bCs/>
          <w:i/>
          <w:iCs/>
          <w:sz w:val="16"/>
          <w:szCs w:val="16"/>
          <w:lang w:val="es-ES_tradnl"/>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b/>
          <w:bCs/>
          <w:i/>
          <w:iCs/>
          <w:sz w:val="18"/>
          <w:szCs w:val="18"/>
        </w:rPr>
        <w:t xml:space="preserve"> </w:t>
      </w:r>
      <w:r w:rsidRPr="00F42138">
        <w:rPr>
          <w:rFonts w:ascii="Times New Roman" w:hAnsi="Times New Roman" w:cs="Times New Roman"/>
          <w:b/>
          <w:bCs/>
          <w:i/>
          <w:iCs/>
          <w:sz w:val="16"/>
          <w:szCs w:val="16"/>
          <w:lang w:val="es-ES_tradnl"/>
        </w:rPr>
        <w:t>Artículo 245.- Determinación gradual de la sanción.-</w:t>
      </w:r>
    </w:p>
    <w:p w:rsidR="00916DCA" w:rsidRPr="00F42138" w:rsidRDefault="00916DCA" w:rsidP="003B164E">
      <w:pPr>
        <w:pStyle w:val="Textonotapie"/>
        <w:ind w:left="142"/>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Para graduar la sanción de inhabilitación temporal a imponerse conforme a las disposiciones del presente Título, el Tribunal considerará los siguientes criterios:</w:t>
      </w:r>
    </w:p>
    <w:p w:rsidR="00916DCA" w:rsidRPr="00F42138" w:rsidRDefault="00916DCA" w:rsidP="003B164E">
      <w:pPr>
        <w:pStyle w:val="Textonotapie"/>
        <w:numPr>
          <w:ilvl w:val="0"/>
          <w:numId w:val="8"/>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Naturaleza de la infracción.</w:t>
      </w:r>
    </w:p>
    <w:p w:rsidR="00916DCA" w:rsidRPr="00F42138" w:rsidRDefault="00916DCA" w:rsidP="003B164E">
      <w:pPr>
        <w:pStyle w:val="Textonotapie"/>
        <w:numPr>
          <w:ilvl w:val="0"/>
          <w:numId w:val="8"/>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Intencionalidad del infractor.</w:t>
      </w:r>
    </w:p>
    <w:p w:rsidR="00916DCA" w:rsidRPr="00F42138" w:rsidRDefault="00916DCA" w:rsidP="003B164E">
      <w:pPr>
        <w:pStyle w:val="Textonotapie"/>
        <w:numPr>
          <w:ilvl w:val="0"/>
          <w:numId w:val="8"/>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Daño causado.</w:t>
      </w:r>
    </w:p>
    <w:p w:rsidR="00916DCA" w:rsidRPr="00F42138" w:rsidRDefault="00916DCA" w:rsidP="003B164E">
      <w:pPr>
        <w:pStyle w:val="Textonotapie"/>
        <w:numPr>
          <w:ilvl w:val="0"/>
          <w:numId w:val="8"/>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Reiterancia.</w:t>
      </w:r>
    </w:p>
    <w:p w:rsidR="00916DCA" w:rsidRPr="00F42138" w:rsidRDefault="00916DCA" w:rsidP="003B164E">
      <w:pPr>
        <w:pStyle w:val="Textonotapie"/>
        <w:numPr>
          <w:ilvl w:val="0"/>
          <w:numId w:val="8"/>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El reconocimiento de la infracción cometida antes de que sea detectada.</w:t>
      </w:r>
    </w:p>
    <w:p w:rsidR="00916DCA" w:rsidRPr="00F42138" w:rsidRDefault="00916DCA" w:rsidP="003B164E">
      <w:pPr>
        <w:pStyle w:val="Textonotapie"/>
        <w:numPr>
          <w:ilvl w:val="0"/>
          <w:numId w:val="8"/>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Circunstancias de tiempo, lugar y modo.</w:t>
      </w:r>
    </w:p>
    <w:p w:rsidR="00916DCA" w:rsidRPr="00F42138" w:rsidRDefault="00916DCA" w:rsidP="003B164E">
      <w:pPr>
        <w:pStyle w:val="Textonotapie"/>
        <w:numPr>
          <w:ilvl w:val="0"/>
          <w:numId w:val="8"/>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Condiciones del infractor.</w:t>
      </w:r>
    </w:p>
    <w:p w:rsidR="00916DCA" w:rsidRDefault="00916DCA" w:rsidP="003B164E">
      <w:pPr>
        <w:pStyle w:val="Textonotapie"/>
        <w:numPr>
          <w:ilvl w:val="0"/>
          <w:numId w:val="8"/>
        </w:numPr>
        <w:tabs>
          <w:tab w:val="num" w:pos="284"/>
        </w:tabs>
        <w:ind w:left="284" w:firstLine="0"/>
      </w:pPr>
      <w:r w:rsidRPr="00F42138">
        <w:rPr>
          <w:rFonts w:ascii="Times New Roman" w:hAnsi="Times New Roman" w:cs="Times New Roman"/>
          <w:i/>
          <w:iCs/>
          <w:sz w:val="16"/>
          <w:szCs w:val="16"/>
          <w:lang w:val="es-ES_tradnl"/>
        </w:rPr>
        <w:t xml:space="preserve">Conducta procesal del infractor. </w:t>
      </w:r>
    </w:p>
  </w:footnote>
  <w:footnote w:id="8">
    <w:p w:rsidR="00916DCA" w:rsidRPr="00F42138" w:rsidRDefault="00916DCA" w:rsidP="003B164E">
      <w:pPr>
        <w:pStyle w:val="Textonotapie"/>
        <w:rPr>
          <w:rFonts w:ascii="Times New Roman" w:hAnsi="Times New Roman" w:cs="Times New Roman"/>
          <w:b/>
          <w:bCs/>
          <w:i/>
          <w:iCs/>
          <w:sz w:val="16"/>
          <w:szCs w:val="16"/>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i/>
          <w:iCs/>
          <w:sz w:val="18"/>
          <w:szCs w:val="18"/>
        </w:rPr>
        <w:t xml:space="preserve"> </w:t>
      </w:r>
      <w:r w:rsidRPr="00F42138">
        <w:rPr>
          <w:rFonts w:ascii="Times New Roman" w:hAnsi="Times New Roman" w:cs="Times New Roman"/>
          <w:b/>
          <w:bCs/>
          <w:i/>
          <w:iCs/>
          <w:sz w:val="16"/>
          <w:szCs w:val="16"/>
        </w:rPr>
        <w:t>Artículo 427.- Falsificación de documentos</w:t>
      </w:r>
    </w:p>
    <w:p w:rsidR="00916DCA" w:rsidRDefault="00916DCA" w:rsidP="003B164E">
      <w:pPr>
        <w:pStyle w:val="Textonotapie"/>
      </w:pPr>
      <w:r w:rsidRPr="00F42138">
        <w:rPr>
          <w:rFonts w:ascii="Times New Roman" w:hAnsi="Times New Roman" w:cs="Times New Roman"/>
          <w:i/>
          <w:iCs/>
          <w:sz w:val="16"/>
          <w:szCs w:val="16"/>
        </w:rPr>
        <w:t xml:space="preserve">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 </w:t>
      </w:r>
    </w:p>
  </w:footnote>
  <w:footnote w:id="9">
    <w:p w:rsidR="00916DCA" w:rsidRPr="00F42138" w:rsidRDefault="00916DCA" w:rsidP="003B164E">
      <w:pPr>
        <w:pStyle w:val="Textonotapie"/>
        <w:rPr>
          <w:rFonts w:ascii="Times New Roman" w:hAnsi="Times New Roman" w:cs="Times New Roman"/>
          <w:i/>
          <w:iCs/>
          <w:sz w:val="16"/>
          <w:szCs w:val="16"/>
        </w:rPr>
      </w:pPr>
      <w:r w:rsidRPr="00F42138">
        <w:rPr>
          <w:rStyle w:val="Refdenotaalpie"/>
          <w:rFonts w:ascii="Times New Roman" w:hAnsi="Times New Roman" w:cs="Times New Roman"/>
          <w:i/>
          <w:iCs/>
          <w:sz w:val="16"/>
          <w:szCs w:val="16"/>
        </w:rPr>
        <w:footnoteRef/>
      </w:r>
      <w:r w:rsidRPr="00F42138">
        <w:rPr>
          <w:rFonts w:ascii="Times New Roman" w:hAnsi="Times New Roman" w:cs="Times New Roman"/>
          <w:i/>
          <w:iCs/>
          <w:sz w:val="16"/>
          <w:szCs w:val="16"/>
        </w:rPr>
        <w:t xml:space="preserve"> </w:t>
      </w:r>
      <w:r w:rsidRPr="00F42138">
        <w:rPr>
          <w:rFonts w:ascii="Times New Roman" w:hAnsi="Times New Roman" w:cs="Times New Roman"/>
          <w:b/>
          <w:bCs/>
          <w:i/>
          <w:iCs/>
          <w:sz w:val="16"/>
          <w:szCs w:val="16"/>
        </w:rPr>
        <w:t>Artículo 438.- Falsedad genérica</w:t>
      </w:r>
      <w:r w:rsidRPr="00F42138">
        <w:rPr>
          <w:rFonts w:ascii="Times New Roman" w:hAnsi="Times New Roman" w:cs="Times New Roman"/>
          <w:i/>
          <w:iCs/>
          <w:sz w:val="16"/>
          <w:szCs w:val="16"/>
        </w:rPr>
        <w:t xml:space="preserve"> </w:t>
      </w:r>
    </w:p>
    <w:p w:rsidR="00916DCA" w:rsidRDefault="00916DCA" w:rsidP="003B164E">
      <w:pPr>
        <w:pStyle w:val="Textonotapie"/>
      </w:pPr>
      <w:r w:rsidRPr="00F42138">
        <w:rPr>
          <w:rFonts w:ascii="Times New Roman" w:hAnsi="Times New Roman" w:cs="Times New Roman"/>
          <w:i/>
          <w:iCs/>
          <w:sz w:val="16"/>
          <w:szCs w:val="16"/>
        </w:rPr>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4F2" w:rsidRDefault="00C234F2" w:rsidP="00C234F2">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C234F2" w:rsidRDefault="00C234F2" w:rsidP="00C234F2">
    <w:pPr>
      <w:pStyle w:val="Encabezado"/>
      <w:rPr>
        <w:noProof/>
      </w:rPr>
    </w:pPr>
  </w:p>
  <w:p w:rsidR="00C234F2" w:rsidRDefault="00C234F2" w:rsidP="00C234F2">
    <w:pPr>
      <w:pStyle w:val="Encabezado"/>
      <w:jc w:val="center"/>
      <w:rPr>
        <w:rFonts w:ascii="Monotype Corsiva" w:hAnsi="Monotype Corsiva"/>
        <w:b/>
        <w:sz w:val="44"/>
        <w:szCs w:val="44"/>
      </w:rPr>
    </w:pPr>
  </w:p>
  <w:p w:rsidR="00C234F2" w:rsidRDefault="00C234F2" w:rsidP="00C234F2">
    <w:pPr>
      <w:pStyle w:val="Encabezado"/>
      <w:jc w:val="center"/>
    </w:pPr>
    <w:r>
      <w:rPr>
        <w:rFonts w:ascii="Monotype Corsiva" w:hAnsi="Monotype Corsiva"/>
        <w:b/>
        <w:sz w:val="44"/>
        <w:szCs w:val="44"/>
      </w:rPr>
      <w:t xml:space="preserve">Resolución Nº   </w:t>
    </w:r>
    <w:r>
      <w:rPr>
        <w:rFonts w:ascii="Tahoma" w:hAnsi="Tahoma" w:cs="Tahoma"/>
        <w:b/>
        <w:sz w:val="44"/>
        <w:szCs w:val="44"/>
      </w:rPr>
      <w:t>1131-2011-TC-S1</w:t>
    </w:r>
  </w:p>
  <w:p w:rsidR="00C234F2" w:rsidRDefault="00C234F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24358"/>
    <w:multiLevelType w:val="hybridMultilevel"/>
    <w:tmpl w:val="38627852"/>
    <w:lvl w:ilvl="0" w:tplc="593EFBF6">
      <w:start w:val="1"/>
      <w:numFmt w:val="decimal"/>
      <w:lvlText w:val="%1."/>
      <w:lvlJc w:val="left"/>
      <w:pPr>
        <w:tabs>
          <w:tab w:val="num" w:pos="720"/>
        </w:tabs>
        <w:ind w:left="720" w:hanging="360"/>
      </w:pPr>
      <w:rPr>
        <w:rFonts w:hint="default"/>
        <w:b/>
        <w:bCs/>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
    <w:nsid w:val="0D89661A"/>
    <w:multiLevelType w:val="hybridMultilevel"/>
    <w:tmpl w:val="896EEB22"/>
    <w:lvl w:ilvl="0" w:tplc="B9A0C6C8">
      <w:start w:val="1"/>
      <w:numFmt w:val="decimal"/>
      <w:lvlText w:val="%1."/>
      <w:lvlJc w:val="left"/>
      <w:pPr>
        <w:tabs>
          <w:tab w:val="num" w:pos="454"/>
        </w:tabs>
        <w:ind w:left="454" w:hanging="454"/>
      </w:pPr>
      <w:rPr>
        <w:rFonts w:ascii="Tahoma" w:hAnsi="Tahoma" w:cs="Tahoma" w:hint="default"/>
        <w:b/>
        <w:bCs/>
        <w:i w:val="0"/>
        <w:iCs w:val="0"/>
        <w:shadow/>
        <w:emboss w:val="0"/>
        <w:imprint w:val="0"/>
        <w:color w:val="auto"/>
        <w:sz w:val="20"/>
        <w:szCs w:val="20"/>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bCs/>
        <w:sz w:val="22"/>
        <w:szCs w:val="22"/>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131D60A9"/>
    <w:multiLevelType w:val="hybridMultilevel"/>
    <w:tmpl w:val="1A801A96"/>
    <w:lvl w:ilvl="0" w:tplc="AAC2829A">
      <w:start w:val="1"/>
      <w:numFmt w:val="decimal"/>
      <w:lvlText w:val="%1."/>
      <w:lvlJc w:val="left"/>
      <w:pPr>
        <w:tabs>
          <w:tab w:val="num" w:pos="720"/>
        </w:tabs>
        <w:ind w:left="720" w:hanging="360"/>
      </w:pPr>
      <w:rPr>
        <w:b/>
        <w:bCs/>
      </w:rPr>
    </w:lvl>
    <w:lvl w:ilvl="1" w:tplc="64268118">
      <w:start w:val="1"/>
      <w:numFmt w:val="bullet"/>
      <w:lvlText w:val=""/>
      <w:lvlJc w:val="left"/>
      <w:pPr>
        <w:tabs>
          <w:tab w:val="num" w:pos="1440"/>
        </w:tabs>
        <w:ind w:left="1440"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13F308E8"/>
    <w:multiLevelType w:val="hybridMultilevel"/>
    <w:tmpl w:val="9E244E80"/>
    <w:lvl w:ilvl="0" w:tplc="0C0A0019">
      <w:start w:val="1"/>
      <w:numFmt w:val="lowerLetter"/>
      <w:lvlText w:val="%1."/>
      <w:lvlJc w:val="left"/>
      <w:pPr>
        <w:ind w:left="1260" w:hanging="360"/>
      </w:pPr>
    </w:lvl>
    <w:lvl w:ilvl="1" w:tplc="0C0A0019">
      <w:start w:val="1"/>
      <w:numFmt w:val="lowerLetter"/>
      <w:lvlText w:val="%2."/>
      <w:lvlJc w:val="left"/>
      <w:pPr>
        <w:ind w:left="1980" w:hanging="360"/>
      </w:pPr>
    </w:lvl>
    <w:lvl w:ilvl="2" w:tplc="0C0A001B">
      <w:start w:val="1"/>
      <w:numFmt w:val="lowerRoman"/>
      <w:lvlText w:val="%3."/>
      <w:lvlJc w:val="right"/>
      <w:pPr>
        <w:ind w:left="2700" w:hanging="180"/>
      </w:pPr>
    </w:lvl>
    <w:lvl w:ilvl="3" w:tplc="0C0A000F">
      <w:start w:val="1"/>
      <w:numFmt w:val="decimal"/>
      <w:lvlText w:val="%4."/>
      <w:lvlJc w:val="left"/>
      <w:pPr>
        <w:ind w:left="3420" w:hanging="360"/>
      </w:pPr>
    </w:lvl>
    <w:lvl w:ilvl="4" w:tplc="0C0A0019">
      <w:start w:val="1"/>
      <w:numFmt w:val="lowerLetter"/>
      <w:lvlText w:val="%5."/>
      <w:lvlJc w:val="left"/>
      <w:pPr>
        <w:ind w:left="4140" w:hanging="360"/>
      </w:pPr>
    </w:lvl>
    <w:lvl w:ilvl="5" w:tplc="0C0A001B">
      <w:start w:val="1"/>
      <w:numFmt w:val="lowerRoman"/>
      <w:lvlText w:val="%6."/>
      <w:lvlJc w:val="right"/>
      <w:pPr>
        <w:ind w:left="4860" w:hanging="180"/>
      </w:pPr>
    </w:lvl>
    <w:lvl w:ilvl="6" w:tplc="0C0A000F">
      <w:start w:val="1"/>
      <w:numFmt w:val="decimal"/>
      <w:lvlText w:val="%7."/>
      <w:lvlJc w:val="left"/>
      <w:pPr>
        <w:ind w:left="5580" w:hanging="360"/>
      </w:pPr>
    </w:lvl>
    <w:lvl w:ilvl="7" w:tplc="0C0A0019">
      <w:start w:val="1"/>
      <w:numFmt w:val="lowerLetter"/>
      <w:lvlText w:val="%8."/>
      <w:lvlJc w:val="left"/>
      <w:pPr>
        <w:ind w:left="6300" w:hanging="360"/>
      </w:pPr>
    </w:lvl>
    <w:lvl w:ilvl="8" w:tplc="0C0A001B">
      <w:start w:val="1"/>
      <w:numFmt w:val="lowerRoman"/>
      <w:lvlText w:val="%9."/>
      <w:lvlJc w:val="right"/>
      <w:pPr>
        <w:ind w:left="7020" w:hanging="180"/>
      </w:pPr>
    </w:lvl>
  </w:abstractNum>
  <w:abstractNum w:abstractNumId="4">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5">
    <w:nsid w:val="2A604CF2"/>
    <w:multiLevelType w:val="hybridMultilevel"/>
    <w:tmpl w:val="08A6192E"/>
    <w:lvl w:ilvl="0" w:tplc="52CCEF68">
      <w:start w:val="1"/>
      <w:numFmt w:val="decimal"/>
      <w:lvlText w:val="%1)"/>
      <w:lvlJc w:val="left"/>
      <w:pPr>
        <w:tabs>
          <w:tab w:val="num" w:pos="644"/>
        </w:tabs>
        <w:ind w:left="644" w:hanging="360"/>
      </w:pPr>
      <w:rPr>
        <w:rFonts w:hint="default"/>
        <w:b w:val="0"/>
        <w:bCs w:val="0"/>
        <w:i w:val="0"/>
        <w:iCs w:val="0"/>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
    <w:nsid w:val="51B8397D"/>
    <w:multiLevelType w:val="hybridMultilevel"/>
    <w:tmpl w:val="0A70C0FA"/>
    <w:lvl w:ilvl="0" w:tplc="6FB00CFE">
      <w:start w:val="1"/>
      <w:numFmt w:val="lowerRoman"/>
      <w:lvlText w:val="%1)"/>
      <w:lvlJc w:val="left"/>
      <w:pPr>
        <w:tabs>
          <w:tab w:val="num" w:pos="1080"/>
        </w:tabs>
        <w:ind w:left="1080" w:hanging="720"/>
      </w:pPr>
    </w:lvl>
    <w:lvl w:ilvl="1" w:tplc="E30A9E44">
      <w:start w:val="1"/>
      <w:numFmt w:val="decimal"/>
      <w:lvlText w:val="%2."/>
      <w:lvlJc w:val="left"/>
      <w:pPr>
        <w:tabs>
          <w:tab w:val="num" w:pos="1080"/>
        </w:tabs>
        <w:ind w:left="1080" w:hanging="360"/>
      </w:pPr>
      <w:rPr>
        <w:b/>
        <w:bCs/>
        <w:i w:val="0"/>
        <w:iCs w:val="0"/>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678235A8"/>
    <w:multiLevelType w:val="hybridMultilevel"/>
    <w:tmpl w:val="63CE349A"/>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
  </w:num>
  <w:num w:numId="7">
    <w:abstractNumId w:val="7"/>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3B164E"/>
    <w:rsid w:val="001A1F6C"/>
    <w:rsid w:val="001F3DAF"/>
    <w:rsid w:val="003958F7"/>
    <w:rsid w:val="003B164E"/>
    <w:rsid w:val="003C272D"/>
    <w:rsid w:val="003E33EB"/>
    <w:rsid w:val="004A6764"/>
    <w:rsid w:val="004E54B4"/>
    <w:rsid w:val="0066645E"/>
    <w:rsid w:val="006677FD"/>
    <w:rsid w:val="006B19EE"/>
    <w:rsid w:val="00806957"/>
    <w:rsid w:val="008459D6"/>
    <w:rsid w:val="008E12E2"/>
    <w:rsid w:val="00916DCA"/>
    <w:rsid w:val="0093607C"/>
    <w:rsid w:val="009600EF"/>
    <w:rsid w:val="0096071E"/>
    <w:rsid w:val="00965A48"/>
    <w:rsid w:val="00994178"/>
    <w:rsid w:val="009C5BA1"/>
    <w:rsid w:val="009F5ACE"/>
    <w:rsid w:val="00A83B3F"/>
    <w:rsid w:val="00B729EE"/>
    <w:rsid w:val="00B84929"/>
    <w:rsid w:val="00C234F2"/>
    <w:rsid w:val="00C91A96"/>
    <w:rsid w:val="00CE1102"/>
    <w:rsid w:val="00CE6341"/>
    <w:rsid w:val="00DC3C31"/>
    <w:rsid w:val="00EB60B3"/>
    <w:rsid w:val="00ED74D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64E"/>
    <w:rPr>
      <w:rFonts w:ascii="Calibri" w:eastAsia="Calibri" w:hAnsi="Calibri" w:cs="Times New Roman"/>
    </w:rPr>
  </w:style>
  <w:style w:type="paragraph" w:styleId="Ttulo2">
    <w:name w:val="heading 2"/>
    <w:basedOn w:val="Normal"/>
    <w:next w:val="Normal"/>
    <w:link w:val="Ttulo2Car"/>
    <w:qFormat/>
    <w:rsid w:val="003B164E"/>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3B164E"/>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3B164E"/>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3B164E"/>
    <w:rPr>
      <w:rFonts w:ascii="Arial" w:eastAsia="Calibri" w:hAnsi="Arial" w:cs="Arial"/>
      <w:b/>
      <w:bCs/>
      <w:sz w:val="26"/>
      <w:szCs w:val="26"/>
    </w:rPr>
  </w:style>
  <w:style w:type="paragraph" w:styleId="Textoindependiente3">
    <w:name w:val="Body Text 3"/>
    <w:basedOn w:val="Normal"/>
    <w:link w:val="Textoindependiente3Car"/>
    <w:semiHidden/>
    <w:unhideWhenUsed/>
    <w:rsid w:val="003B164E"/>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3B164E"/>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3B164E"/>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3B164E"/>
    <w:pPr>
      <w:tabs>
        <w:tab w:val="center" w:pos="4252"/>
        <w:tab w:val="right" w:pos="8504"/>
      </w:tabs>
    </w:pPr>
  </w:style>
  <w:style w:type="character" w:customStyle="1" w:styleId="PiedepginaCar">
    <w:name w:val="Pie de página Car"/>
    <w:basedOn w:val="Fuentedeprrafopredeter"/>
    <w:link w:val="Piedepgina"/>
    <w:uiPriority w:val="99"/>
    <w:rsid w:val="003B164E"/>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Car2 Car1 Car,Texto independiente11"/>
    <w:basedOn w:val="Normal"/>
    <w:link w:val="TextonotapieCar"/>
    <w:uiPriority w:val="99"/>
    <w:rsid w:val="003B164E"/>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3B164E"/>
    <w:rPr>
      <w:rFonts w:ascii="Tahoma" w:eastAsia="Calibri" w:hAnsi="Tahoma" w:cs="Tahoma"/>
      <w:sz w:val="20"/>
      <w:szCs w:val="20"/>
    </w:rPr>
  </w:style>
  <w:style w:type="character" w:styleId="Refdenotaalpie">
    <w:name w:val="footnote reference"/>
    <w:basedOn w:val="Fuentedeprrafopredeter"/>
    <w:uiPriority w:val="99"/>
    <w:semiHidden/>
    <w:rsid w:val="003B164E"/>
    <w:rPr>
      <w:vertAlign w:val="superscript"/>
    </w:rPr>
  </w:style>
  <w:style w:type="paragraph" w:styleId="Textoindependiente">
    <w:name w:val="Body Text"/>
    <w:basedOn w:val="Normal"/>
    <w:link w:val="TextoindependienteCar"/>
    <w:uiPriority w:val="99"/>
    <w:semiHidden/>
    <w:unhideWhenUsed/>
    <w:rsid w:val="003B164E"/>
    <w:pPr>
      <w:spacing w:after="120"/>
    </w:pPr>
  </w:style>
  <w:style w:type="character" w:customStyle="1" w:styleId="TextoindependienteCar">
    <w:name w:val="Texto independiente Car"/>
    <w:basedOn w:val="Fuentedeprrafopredeter"/>
    <w:link w:val="Textoindependiente"/>
    <w:uiPriority w:val="99"/>
    <w:semiHidden/>
    <w:rsid w:val="003B164E"/>
    <w:rPr>
      <w:rFonts w:ascii="Calibri" w:eastAsia="Calibri" w:hAnsi="Calibri" w:cs="Times New Roman"/>
    </w:rPr>
  </w:style>
  <w:style w:type="paragraph" w:styleId="NormalWeb">
    <w:name w:val="Normal (Web)"/>
    <w:basedOn w:val="Normal"/>
    <w:uiPriority w:val="99"/>
    <w:rsid w:val="003B164E"/>
    <w:pPr>
      <w:spacing w:before="100" w:beforeAutospacing="1" w:after="100" w:afterAutospacing="1" w:line="240" w:lineRule="auto"/>
    </w:pPr>
    <w:rPr>
      <w:rFonts w:ascii="Times New Roman" w:hAnsi="Times New Roman"/>
      <w:sz w:val="24"/>
      <w:szCs w:val="24"/>
      <w:lang w:eastAsia="es-ES"/>
    </w:rPr>
  </w:style>
  <w:style w:type="paragraph" w:styleId="Encabezado">
    <w:name w:val="header"/>
    <w:aliases w:val="maria,h"/>
    <w:basedOn w:val="Normal"/>
    <w:link w:val="EncabezadoCar"/>
    <w:uiPriority w:val="99"/>
    <w:semiHidden/>
    <w:unhideWhenUsed/>
    <w:rsid w:val="00C234F2"/>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C234F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551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8</Pages>
  <Words>3082</Words>
  <Characters>16951</Characters>
  <Application>Microsoft Office Word</Application>
  <DocSecurity>0</DocSecurity>
  <Lines>141</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21</cp:revision>
  <cp:lastPrinted>2011-06-30T14:09:00Z</cp:lastPrinted>
  <dcterms:created xsi:type="dcterms:W3CDTF">2011-06-28T18:01:00Z</dcterms:created>
  <dcterms:modified xsi:type="dcterms:W3CDTF">2011-07-22T20:23:00Z</dcterms:modified>
</cp:coreProperties>
</file>